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65018" w14:textId="77777777" w:rsidR="00AB6877" w:rsidRDefault="00AB6877" w:rsidP="00AB6877">
      <w:pPr>
        <w:jc w:val="center"/>
        <w:rPr>
          <w:rFonts w:ascii="Old English Text MT" w:hAnsi="Old English Text MT"/>
          <w:b/>
          <w:bCs/>
          <w:sz w:val="16"/>
          <w:szCs w:val="16"/>
        </w:rPr>
      </w:pPr>
      <w:bookmarkStart w:id="0" w:name="_GoBack"/>
      <w:bookmarkEnd w:id="0"/>
      <w:r w:rsidRPr="00B80AFE">
        <w:rPr>
          <w:rFonts w:ascii="Old English Text MT" w:hAnsi="Old English Text MT"/>
          <w:b/>
          <w:bCs/>
          <w:sz w:val="48"/>
          <w:szCs w:val="48"/>
        </w:rPr>
        <w:t xml:space="preserve">Descendants </w:t>
      </w:r>
      <w:r>
        <w:rPr>
          <w:rFonts w:ascii="Old English Text MT" w:hAnsi="Old English Text MT"/>
          <w:b/>
          <w:bCs/>
          <w:sz w:val="48"/>
          <w:szCs w:val="48"/>
        </w:rPr>
        <w:t>o</w:t>
      </w:r>
      <w:r w:rsidRPr="00B80AFE">
        <w:rPr>
          <w:rFonts w:ascii="Old English Text MT" w:hAnsi="Old English Text MT"/>
          <w:b/>
          <w:bCs/>
          <w:sz w:val="48"/>
          <w:szCs w:val="48"/>
        </w:rPr>
        <w:t>f Sheriffs</w:t>
      </w:r>
      <w:r w:rsidR="000625DB">
        <w:rPr>
          <w:rFonts w:ascii="Old English Text MT" w:hAnsi="Old English Text MT"/>
          <w:b/>
          <w:bCs/>
          <w:sz w:val="48"/>
          <w:szCs w:val="48"/>
        </w:rPr>
        <w:t xml:space="preserve"> </w:t>
      </w:r>
      <w:r>
        <w:rPr>
          <w:rFonts w:ascii="Old English Text MT" w:hAnsi="Old English Text MT"/>
          <w:b/>
          <w:bCs/>
          <w:sz w:val="48"/>
          <w:szCs w:val="48"/>
        </w:rPr>
        <w:t>&amp; Constables o</w:t>
      </w:r>
      <w:r w:rsidRPr="00B80AFE">
        <w:rPr>
          <w:rFonts w:ascii="Old English Text MT" w:hAnsi="Old English Text MT"/>
          <w:b/>
          <w:bCs/>
          <w:sz w:val="48"/>
          <w:szCs w:val="48"/>
        </w:rPr>
        <w:t>f Colonial &amp; Antebellum America</w:t>
      </w:r>
    </w:p>
    <w:p w14:paraId="1F1B9B5D" w14:textId="77777777" w:rsidR="00AB6877" w:rsidRPr="00023C12" w:rsidRDefault="00AB6877" w:rsidP="00AB6877">
      <w:pPr>
        <w:jc w:val="center"/>
        <w:rPr>
          <w:sz w:val="16"/>
          <w:szCs w:val="16"/>
        </w:rPr>
      </w:pPr>
    </w:p>
    <w:p w14:paraId="0123EEF8" w14:textId="77777777" w:rsidR="00AB6877" w:rsidRDefault="00322BBC" w:rsidP="00AB6877">
      <w:pPr>
        <w:spacing w:before="108"/>
        <w:jc w:val="center"/>
        <w:rPr>
          <w:rFonts w:ascii="Garamond" w:hAnsi="Garamond" w:cs="Garamond"/>
          <w:b/>
          <w:bCs/>
          <w:spacing w:val="-4"/>
          <w:sz w:val="16"/>
          <w:szCs w:val="16"/>
        </w:rPr>
      </w:pPr>
      <w:r>
        <w:rPr>
          <w:rFonts w:ascii="Garamond" w:hAnsi="Garamond" w:cs="Garamond"/>
          <w:b/>
          <w:bCs/>
          <w:spacing w:val="-4"/>
          <w:sz w:val="32"/>
          <w:szCs w:val="32"/>
        </w:rPr>
        <w:t>Application Instructions</w:t>
      </w:r>
    </w:p>
    <w:p w14:paraId="5A934BB3" w14:textId="77777777" w:rsidR="00AB6877" w:rsidRPr="008077E3" w:rsidRDefault="00AB6877" w:rsidP="00AB6877">
      <w:pPr>
        <w:spacing w:before="108"/>
        <w:jc w:val="center"/>
        <w:rPr>
          <w:rFonts w:ascii="Garamond" w:hAnsi="Garamond" w:cs="Garamond"/>
          <w:b/>
          <w:bCs/>
          <w:spacing w:val="-4"/>
          <w:sz w:val="16"/>
          <w:szCs w:val="16"/>
        </w:rPr>
      </w:pPr>
    </w:p>
    <w:p w14:paraId="5FCC074A" w14:textId="77777777" w:rsidR="00AB6877" w:rsidRDefault="00AB6877" w:rsidP="009C4D11">
      <w:pPr>
        <w:rPr>
          <w:spacing w:val="-4"/>
          <w:sz w:val="16"/>
          <w:szCs w:val="16"/>
        </w:rPr>
      </w:pPr>
      <w:r>
        <w:rPr>
          <w:b/>
          <w:lang w:val="en"/>
        </w:rPr>
        <w:t xml:space="preserve">Eligibility: </w:t>
      </w:r>
      <w:r w:rsidRPr="00FD6018">
        <w:rPr>
          <w:lang w:val="en"/>
        </w:rPr>
        <w:t xml:space="preserve">A </w:t>
      </w:r>
      <w:r w:rsidRPr="00FD6018">
        <w:rPr>
          <w:bCs/>
          <w:lang w:val="en"/>
        </w:rPr>
        <w:t>law enforcement officer</w:t>
      </w:r>
      <w:r w:rsidRPr="00FD6018">
        <w:rPr>
          <w:lang w:val="en"/>
        </w:rPr>
        <w:t xml:space="preserve"> (also called </w:t>
      </w:r>
      <w:r w:rsidRPr="00FD6018">
        <w:rPr>
          <w:bCs/>
          <w:lang w:val="en"/>
        </w:rPr>
        <w:t>peace officer</w:t>
      </w:r>
      <w:r>
        <w:rPr>
          <w:lang w:val="en"/>
        </w:rPr>
        <w:t>), was</w:t>
      </w:r>
      <w:r w:rsidRPr="00FD6018">
        <w:rPr>
          <w:lang w:val="en"/>
        </w:rPr>
        <w:t xml:space="preserve"> any </w:t>
      </w:r>
      <w:hyperlink r:id="rId5" w:tooltip="Public sector" w:history="1">
        <w:r w:rsidRPr="00FD6018">
          <w:rPr>
            <w:rStyle w:val="Hyperlink"/>
            <w:lang w:val="en"/>
          </w:rPr>
          <w:t>public-sector</w:t>
        </w:r>
      </w:hyperlink>
      <w:r w:rsidRPr="00FD6018">
        <w:rPr>
          <w:lang w:val="en"/>
        </w:rPr>
        <w:t xml:space="preserve"> employee or agent charged with upholding the </w:t>
      </w:r>
      <w:hyperlink r:id="rId6" w:tooltip="Breach of the peace" w:history="1">
        <w:r w:rsidRPr="00FD6018">
          <w:rPr>
            <w:rStyle w:val="Hyperlink"/>
            <w:lang w:val="en"/>
          </w:rPr>
          <w:t>peace</w:t>
        </w:r>
      </w:hyperlink>
      <w:r>
        <w:rPr>
          <w:lang w:val="en"/>
        </w:rPr>
        <w:t xml:space="preserve"> and empowered to arrest criminals</w:t>
      </w:r>
      <w:r w:rsidRPr="00FD6018">
        <w:rPr>
          <w:lang w:val="en"/>
        </w:rPr>
        <w:t>.</w:t>
      </w:r>
      <w:r w:rsidRPr="00FD6018">
        <w:rPr>
          <w:b/>
          <w:bCs/>
          <w:spacing w:val="-4"/>
        </w:rPr>
        <w:t xml:space="preserve">  </w:t>
      </w:r>
      <w:r w:rsidRPr="00FD6018">
        <w:rPr>
          <w:bCs/>
          <w:spacing w:val="-4"/>
        </w:rPr>
        <w:t xml:space="preserve">The following are the </w:t>
      </w:r>
      <w:r w:rsidRPr="00FD6018">
        <w:rPr>
          <w:spacing w:val="-4"/>
        </w:rPr>
        <w:t>eligibility categories for active members who have attained the age of 18 or above and whose lineal ancestors served before 1861 in one of the following categories:</w:t>
      </w:r>
    </w:p>
    <w:p w14:paraId="31409174" w14:textId="77777777" w:rsidR="00AB6877" w:rsidRPr="00BF38B9" w:rsidRDefault="00AB6877" w:rsidP="009C4D11">
      <w:pPr>
        <w:rPr>
          <w:spacing w:val="-4"/>
          <w:sz w:val="16"/>
          <w:szCs w:val="16"/>
        </w:rPr>
      </w:pPr>
    </w:p>
    <w:p w14:paraId="1518D461" w14:textId="5C474CD0" w:rsidR="00AB6877" w:rsidRDefault="00E77480" w:rsidP="009C4D11">
      <w:pPr>
        <w:rPr>
          <w:spacing w:val="-4"/>
          <w:sz w:val="16"/>
          <w:szCs w:val="16"/>
        </w:rPr>
      </w:pPr>
      <w:r>
        <w:t xml:space="preserve">     </w:t>
      </w:r>
      <w:r w:rsidR="00AB6877">
        <w:t>Sheriff, High Sheriff, Under S</w:t>
      </w:r>
      <w:r w:rsidR="00AB6877" w:rsidRPr="0009775A">
        <w:t>heriff, Deputy Sheriff</w:t>
      </w:r>
      <w:r w:rsidR="00AB6877">
        <w:t xml:space="preserve">, Constable, High Constable, Lesser Constable, Marshal, </w:t>
      </w:r>
      <w:r w:rsidR="00AB6877" w:rsidRPr="0009775A">
        <w:t xml:space="preserve">Corps of Rangers </w:t>
      </w:r>
      <w:r w:rsidR="00AB6877">
        <w:t>(</w:t>
      </w:r>
      <w:r w:rsidR="00AB6877" w:rsidRPr="0009775A">
        <w:t>in TX</w:t>
      </w:r>
      <w:r w:rsidR="00AB6877">
        <w:t xml:space="preserve">), Bailiff, </w:t>
      </w:r>
      <w:r w:rsidR="00AB6877" w:rsidRPr="0009775A">
        <w:t>Night Watch</w:t>
      </w:r>
      <w:r w:rsidR="00AB6877">
        <w:t xml:space="preserve">, </w:t>
      </w:r>
      <w:r w:rsidR="00AB6877" w:rsidRPr="0009775A">
        <w:t>Deputy</w:t>
      </w:r>
      <w:r w:rsidR="00AB6877">
        <w:t xml:space="preserve">, Jailer, </w:t>
      </w:r>
      <w:proofErr w:type="spellStart"/>
      <w:r w:rsidR="00AB6877">
        <w:t>Gaoler</w:t>
      </w:r>
      <w:proofErr w:type="spellEnd"/>
      <w:r w:rsidR="00AB6877">
        <w:t>, Conservator of the Peace (not a Judge or Justice), Prison Guard, Detective (not P</w:t>
      </w:r>
      <w:r w:rsidR="00AB6877" w:rsidRPr="0009775A">
        <w:t>rivate)</w:t>
      </w:r>
      <w:r w:rsidR="00AB6877">
        <w:t xml:space="preserve">, </w:t>
      </w:r>
      <w:hyperlink r:id="rId7" w:tooltip="Police officers" w:history="1">
        <w:r w:rsidR="00AB6877">
          <w:rPr>
            <w:rStyle w:val="Hyperlink"/>
            <w:lang w:val="en"/>
          </w:rPr>
          <w:t>P</w:t>
        </w:r>
        <w:r w:rsidR="00AB6877" w:rsidRPr="0009775A">
          <w:rPr>
            <w:rStyle w:val="Hyperlink"/>
            <w:lang w:val="en"/>
          </w:rPr>
          <w:t>olice</w:t>
        </w:r>
        <w:r w:rsidR="00AB6877">
          <w:rPr>
            <w:rStyle w:val="Hyperlink"/>
            <w:lang w:val="en"/>
          </w:rPr>
          <w:t xml:space="preserve"> O</w:t>
        </w:r>
        <w:r w:rsidR="00AB6877" w:rsidRPr="0009775A">
          <w:rPr>
            <w:rStyle w:val="Hyperlink"/>
            <w:lang w:val="en"/>
          </w:rPr>
          <w:t>fficer</w:t>
        </w:r>
      </w:hyperlink>
      <w:r w:rsidR="00AB6877">
        <w:rPr>
          <w:lang w:val="en"/>
        </w:rPr>
        <w:t xml:space="preserve"> (Boston,</w:t>
      </w:r>
      <w:r w:rsidR="009C4D11">
        <w:rPr>
          <w:lang w:val="en"/>
        </w:rPr>
        <w:t xml:space="preserve"> </w:t>
      </w:r>
      <w:r w:rsidR="00AB6877">
        <w:rPr>
          <w:lang w:val="en"/>
        </w:rPr>
        <w:t xml:space="preserve">New York, Philadelphia, </w:t>
      </w:r>
      <w:r w:rsidR="00AB6877" w:rsidRPr="002D1ACA">
        <w:rPr>
          <w:i/>
          <w:lang w:val="en"/>
        </w:rPr>
        <w:t>et al</w:t>
      </w:r>
      <w:r w:rsidR="00AB6877">
        <w:rPr>
          <w:lang w:val="en"/>
        </w:rPr>
        <w:t>)</w:t>
      </w:r>
      <w:r w:rsidR="00AB6877" w:rsidRPr="0009775A">
        <w:rPr>
          <w:lang w:val="en"/>
        </w:rPr>
        <w:t>,</w:t>
      </w:r>
      <w:r w:rsidR="00AB6877">
        <w:rPr>
          <w:lang w:val="en"/>
        </w:rPr>
        <w:t xml:space="preserve"> </w:t>
      </w:r>
      <w:hyperlink r:id="rId8" w:tooltip="Correctional officer" w:history="1">
        <w:r w:rsidR="00AB6877">
          <w:rPr>
            <w:rStyle w:val="Hyperlink"/>
            <w:lang w:val="en"/>
          </w:rPr>
          <w:t>Correctional O</w:t>
        </w:r>
        <w:r w:rsidR="00AB6877" w:rsidRPr="0009775A">
          <w:rPr>
            <w:rStyle w:val="Hyperlink"/>
            <w:lang w:val="en"/>
          </w:rPr>
          <w:t>fficer</w:t>
        </w:r>
      </w:hyperlink>
      <w:r w:rsidR="00AB6877" w:rsidRPr="0009775A">
        <w:rPr>
          <w:lang w:val="en"/>
        </w:rPr>
        <w:t xml:space="preserve">, </w:t>
      </w:r>
      <w:hyperlink r:id="rId9" w:tooltip="Customs officer" w:history="1">
        <w:r w:rsidR="00AB6877">
          <w:rPr>
            <w:rStyle w:val="Hyperlink"/>
            <w:lang w:val="en"/>
          </w:rPr>
          <w:t>Customs O</w:t>
        </w:r>
        <w:r w:rsidR="00AB6877" w:rsidRPr="0009775A">
          <w:rPr>
            <w:rStyle w:val="Hyperlink"/>
            <w:lang w:val="en"/>
          </w:rPr>
          <w:t>fficer</w:t>
        </w:r>
      </w:hyperlink>
      <w:r w:rsidR="00AB6877" w:rsidRPr="0009775A">
        <w:rPr>
          <w:lang w:val="en"/>
        </w:rPr>
        <w:t xml:space="preserve">, </w:t>
      </w:r>
      <w:hyperlink r:id="rId10" w:tooltip="Immigration officer" w:history="1">
        <w:r w:rsidR="00AB6877">
          <w:rPr>
            <w:rStyle w:val="Hyperlink"/>
            <w:lang w:val="en"/>
          </w:rPr>
          <w:t>Immigration O</w:t>
        </w:r>
        <w:r w:rsidR="00AB6877" w:rsidRPr="0009775A">
          <w:rPr>
            <w:rStyle w:val="Hyperlink"/>
            <w:lang w:val="en"/>
          </w:rPr>
          <w:t>fficer</w:t>
        </w:r>
      </w:hyperlink>
      <w:r w:rsidR="00AB6877" w:rsidRPr="0009775A">
        <w:rPr>
          <w:lang w:val="en"/>
        </w:rPr>
        <w:t xml:space="preserve">, </w:t>
      </w:r>
      <w:hyperlink r:id="rId11" w:tooltip="Probation officer" w:history="1">
        <w:r w:rsidR="00AB6877">
          <w:rPr>
            <w:rStyle w:val="Hyperlink"/>
            <w:lang w:val="en"/>
          </w:rPr>
          <w:t>Probation O</w:t>
        </w:r>
        <w:r w:rsidR="00AB6877" w:rsidRPr="0009775A">
          <w:rPr>
            <w:rStyle w:val="Hyperlink"/>
            <w:lang w:val="en"/>
          </w:rPr>
          <w:t>fficer</w:t>
        </w:r>
      </w:hyperlink>
      <w:r w:rsidR="00AB6877" w:rsidRPr="0009775A">
        <w:rPr>
          <w:lang w:val="en"/>
        </w:rPr>
        <w:t xml:space="preserve">, </w:t>
      </w:r>
      <w:hyperlink r:id="rId12" w:tooltip="Parole officer" w:history="1">
        <w:r w:rsidR="00AB6877">
          <w:rPr>
            <w:rStyle w:val="Hyperlink"/>
            <w:lang w:val="en"/>
          </w:rPr>
          <w:t>Parole O</w:t>
        </w:r>
        <w:r w:rsidR="00AB6877" w:rsidRPr="0009775A">
          <w:rPr>
            <w:rStyle w:val="Hyperlink"/>
            <w:lang w:val="en"/>
          </w:rPr>
          <w:t>fficer</w:t>
        </w:r>
      </w:hyperlink>
      <w:r w:rsidR="00AB6877" w:rsidRPr="0009775A">
        <w:rPr>
          <w:lang w:val="en"/>
        </w:rPr>
        <w:t xml:space="preserve">, </w:t>
      </w:r>
      <w:hyperlink r:id="rId13" w:tooltip="Auxiliary Police" w:history="1">
        <w:r w:rsidR="00AB6877">
          <w:rPr>
            <w:rStyle w:val="Hyperlink"/>
            <w:lang w:val="en"/>
          </w:rPr>
          <w:t>Auxiliary O</w:t>
        </w:r>
        <w:r w:rsidR="00AB6877" w:rsidRPr="0009775A">
          <w:rPr>
            <w:rStyle w:val="Hyperlink"/>
            <w:lang w:val="en"/>
          </w:rPr>
          <w:t>fficer</w:t>
        </w:r>
      </w:hyperlink>
      <w:r w:rsidR="00AB6877" w:rsidRPr="0009775A">
        <w:rPr>
          <w:lang w:val="en"/>
        </w:rPr>
        <w:t xml:space="preserve">, and </w:t>
      </w:r>
      <w:r w:rsidR="00AB6877">
        <w:rPr>
          <w:lang w:val="en"/>
        </w:rPr>
        <w:t>all the deputies of the above.</w:t>
      </w:r>
      <w:r w:rsidR="00C903F4">
        <w:rPr>
          <w:lang w:val="en"/>
        </w:rPr>
        <w:t xml:space="preserve">  All of the above must be non-military.</w:t>
      </w:r>
    </w:p>
    <w:p w14:paraId="74983A6B" w14:textId="77777777" w:rsidR="00AB6877" w:rsidRPr="00BF38B9" w:rsidRDefault="00AB6877" w:rsidP="009C4D11">
      <w:pPr>
        <w:rPr>
          <w:spacing w:val="-4"/>
          <w:sz w:val="16"/>
          <w:szCs w:val="16"/>
        </w:rPr>
      </w:pPr>
    </w:p>
    <w:p w14:paraId="6585E5E2" w14:textId="75747807" w:rsidR="00AB6877" w:rsidRDefault="00AB6877" w:rsidP="009C4D11">
      <w:r w:rsidRPr="00FB3F03">
        <w:rPr>
          <w:b/>
        </w:rPr>
        <w:t>Fees:</w:t>
      </w:r>
      <w:r>
        <w:t xml:space="preserve">  </w:t>
      </w:r>
      <w:r w:rsidRPr="0009775A">
        <w:t>Life member</w:t>
      </w:r>
      <w:r>
        <w:t>ship</w:t>
      </w:r>
      <w:r w:rsidRPr="0009775A">
        <w:t xml:space="preserve"> dues will be $200 for a</w:t>
      </w:r>
      <w:r>
        <w:t>ll members</w:t>
      </w:r>
      <w:r w:rsidRPr="0009775A">
        <w:t>.</w:t>
      </w:r>
      <w:r>
        <w:t xml:space="preserve">  </w:t>
      </w:r>
      <w:r w:rsidR="008A62EA">
        <w:t>T</w:t>
      </w:r>
      <w:r>
        <w:t>he non-ref</w:t>
      </w:r>
      <w:r w:rsidR="00B172C6">
        <w:t>undable application fee is $</w:t>
      </w:r>
      <w:r w:rsidR="008A62EA">
        <w:t>20</w:t>
      </w:r>
      <w:r w:rsidR="00B172C6">
        <w:t>, for a total of $2</w:t>
      </w:r>
      <w:r w:rsidR="008A62EA">
        <w:t>20</w:t>
      </w:r>
      <w:r w:rsidR="00B172C6">
        <w:t>.00</w:t>
      </w:r>
      <w:r w:rsidR="008A62EA">
        <w:t xml:space="preserve">.  An additional </w:t>
      </w:r>
      <w:r w:rsidR="00BB0884">
        <w:t xml:space="preserve">non-refundable </w:t>
      </w:r>
      <w:r w:rsidR="008A62EA">
        <w:t>Registrar General fee of $15 should be supplied to the Registrar General below</w:t>
      </w:r>
      <w:r w:rsidR="00B172C6">
        <w:t xml:space="preserve">.  </w:t>
      </w:r>
      <w:r>
        <w:t>The non-refundable fee for each supplemental is $35</w:t>
      </w:r>
      <w:r w:rsidR="00075BCA">
        <w:t>; twenty dollars to Sheriffs &amp; Constables and $15.00 for the</w:t>
      </w:r>
      <w:r w:rsidR="008A62EA">
        <w:t xml:space="preserve"> Registrar General fee</w:t>
      </w:r>
      <w:r>
        <w:t>.</w:t>
      </w:r>
    </w:p>
    <w:p w14:paraId="5CD0EE09" w14:textId="77777777" w:rsidR="00AB6877" w:rsidRPr="00BF38B9" w:rsidRDefault="00AB6877" w:rsidP="009C4D11">
      <w:pPr>
        <w:rPr>
          <w:sz w:val="16"/>
          <w:szCs w:val="16"/>
        </w:rPr>
      </w:pPr>
    </w:p>
    <w:p w14:paraId="5648AE6D" w14:textId="77777777" w:rsidR="00E77480" w:rsidRDefault="00AB6877" w:rsidP="009C4D11">
      <w:pPr>
        <w:rPr>
          <w:spacing w:val="-6"/>
        </w:rPr>
      </w:pPr>
      <w:r w:rsidRPr="00FB3F03">
        <w:rPr>
          <w:b/>
          <w:bCs/>
          <w:spacing w:val="-4"/>
        </w:rPr>
        <w:t xml:space="preserve">Application procedure: </w:t>
      </w:r>
      <w:r w:rsidRPr="00FB3F03">
        <w:rPr>
          <w:spacing w:val="-4"/>
        </w:rPr>
        <w:t>Upon written acceptance by the applicant to the Registrar General</w:t>
      </w:r>
      <w:r>
        <w:rPr>
          <w:spacing w:val="-4"/>
        </w:rPr>
        <w:t>,</w:t>
      </w:r>
      <w:r w:rsidRPr="00FB3F03">
        <w:rPr>
          <w:spacing w:val="-4"/>
        </w:rPr>
        <w:t xml:space="preserve"> </w:t>
      </w:r>
      <w:r w:rsidRPr="00FB3F03">
        <w:rPr>
          <w:spacing w:val="-6"/>
        </w:rPr>
        <w:t xml:space="preserve">an application form </w:t>
      </w:r>
      <w:r>
        <w:rPr>
          <w:spacing w:val="-6"/>
        </w:rPr>
        <w:t xml:space="preserve">will be provided </w:t>
      </w:r>
      <w:r w:rsidRPr="00FB3F03">
        <w:rPr>
          <w:spacing w:val="-6"/>
        </w:rPr>
        <w:t>(elect</w:t>
      </w:r>
      <w:r>
        <w:rPr>
          <w:spacing w:val="-6"/>
        </w:rPr>
        <w:t xml:space="preserve">ronic or paper) for completion. </w:t>
      </w:r>
    </w:p>
    <w:p w14:paraId="3D587FA9" w14:textId="77777777" w:rsidR="00E77480" w:rsidRDefault="00E77480" w:rsidP="009C4D11">
      <w:pPr>
        <w:rPr>
          <w:spacing w:val="-6"/>
        </w:rPr>
      </w:pPr>
    </w:p>
    <w:p w14:paraId="07265E19" w14:textId="77777777" w:rsidR="00E77480" w:rsidRDefault="00E77480" w:rsidP="009C4D11">
      <w:r>
        <w:t xml:space="preserve">     The lineage pages (beginning at page 2 of the application) must be completed following customary procedures.  Include full names, birth, death, and marriage information for both individuals in each generation in the claimed lineage.  Dates should be written as “04 Sep 1637/8”; do not use numerals for months and do not convert dates from the Julian to the Gregorian calendar.  When dealing with Quaker dates, write the date exactly as it is found in the records (</w:t>
      </w:r>
      <w:r w:rsidRPr="00CC5999">
        <w:rPr>
          <w:i/>
          <w:iCs/>
        </w:rPr>
        <w:t>e.g.,</w:t>
      </w:r>
      <w:r>
        <w:t xml:space="preserve"> 13</w:t>
      </w:r>
      <w:r w:rsidRPr="00D01C42">
        <w:rPr>
          <w:vertAlign w:val="superscript"/>
        </w:rPr>
        <w:t>th</w:t>
      </w:r>
      <w:r>
        <w:t xml:space="preserve"> 12 mo. 1657). </w:t>
      </w:r>
    </w:p>
    <w:p w14:paraId="65F4A78B" w14:textId="77777777" w:rsidR="00E77480" w:rsidRPr="00550888" w:rsidRDefault="00E77480" w:rsidP="009C4D11">
      <w:pPr>
        <w:rPr>
          <w:sz w:val="16"/>
          <w:szCs w:val="16"/>
        </w:rPr>
      </w:pPr>
    </w:p>
    <w:p w14:paraId="75CC5DC1" w14:textId="77777777" w:rsidR="00E77480" w:rsidRDefault="00E77480" w:rsidP="009C4D11">
      <w:r>
        <w:t xml:space="preserve">     Use 2-letter postal abbreviations for names of States</w:t>
      </w:r>
      <w:r w:rsidR="00D60ED0">
        <w:t xml:space="preserve"> (e. g.,</w:t>
      </w:r>
      <w:r>
        <w:t xml:space="preserve"> GA, NY, VA)</w:t>
      </w:r>
      <w:r w:rsidR="00D60ED0">
        <w:t xml:space="preserve">. Counties that appear on proof documentation should be stated, </w:t>
      </w:r>
      <w:r w:rsidR="00D60ED0" w:rsidRPr="00D60ED0">
        <w:rPr>
          <w:i/>
        </w:rPr>
        <w:t>but not derived after the fact</w:t>
      </w:r>
      <w:r w:rsidR="00D60ED0">
        <w:t xml:space="preserve"> as county borders change over time.</w:t>
      </w:r>
    </w:p>
    <w:p w14:paraId="3C35A249" w14:textId="77777777" w:rsidR="00E77480" w:rsidRPr="00550888" w:rsidRDefault="00E77480" w:rsidP="009C4D11">
      <w:pPr>
        <w:rPr>
          <w:sz w:val="16"/>
          <w:szCs w:val="16"/>
        </w:rPr>
      </w:pPr>
    </w:p>
    <w:p w14:paraId="709F9705" w14:textId="77777777" w:rsidR="00E77480" w:rsidRDefault="00E77480" w:rsidP="009C4D11">
      <w:r>
        <w:t xml:space="preserve">     Remember to provide proper citation to authoritative sources.  Published sources should follow the standard Chicago Style Manual:</w:t>
      </w:r>
    </w:p>
    <w:p w14:paraId="3571861D" w14:textId="273E3E85" w:rsidR="00E77480" w:rsidRDefault="00E77480" w:rsidP="009C4D11">
      <w:pPr>
        <w:ind w:left="540"/>
      </w:pPr>
      <w:r>
        <w:t xml:space="preserve">Author’s name, </w:t>
      </w:r>
      <w:r>
        <w:rPr>
          <w:i/>
          <w:iCs/>
        </w:rPr>
        <w:t xml:space="preserve">Name of Book or Other Published Source </w:t>
      </w:r>
      <w:r w:rsidR="00614105">
        <w:t>(City, State</w:t>
      </w:r>
      <w:r>
        <w:t xml:space="preserve"> Published:  Name of Publisher, Year), </w:t>
      </w:r>
      <w:r w:rsidR="00D60ED0">
        <w:t>volume number:</w:t>
      </w:r>
      <w:r w:rsidR="00975AA1">
        <w:t xml:space="preserve"> </w:t>
      </w:r>
      <w:r>
        <w:t>page numbers.</w:t>
      </w:r>
    </w:p>
    <w:p w14:paraId="5F32E492" w14:textId="77777777" w:rsidR="00E77480" w:rsidRPr="00C931ED" w:rsidRDefault="00E77480" w:rsidP="009C4D11">
      <w:pPr>
        <w:ind w:left="540"/>
        <w:rPr>
          <w:sz w:val="22"/>
          <w:szCs w:val="22"/>
        </w:rPr>
      </w:pPr>
      <w:r w:rsidRPr="00C931ED">
        <w:rPr>
          <w:b/>
          <w:i/>
        </w:rPr>
        <w:t>Example:</w:t>
      </w:r>
      <w:r>
        <w:t xml:space="preserve"> </w:t>
      </w:r>
      <w:r w:rsidRPr="00C931ED">
        <w:rPr>
          <w:sz w:val="22"/>
          <w:szCs w:val="22"/>
        </w:rPr>
        <w:t xml:space="preserve">John Smith, </w:t>
      </w:r>
      <w:r w:rsidRPr="00C931ED">
        <w:rPr>
          <w:i/>
          <w:iCs/>
          <w:sz w:val="22"/>
          <w:szCs w:val="22"/>
        </w:rPr>
        <w:t xml:space="preserve">The Smith Family of Rhode Island </w:t>
      </w:r>
      <w:r w:rsidRPr="00C931ED">
        <w:rPr>
          <w:sz w:val="22"/>
          <w:szCs w:val="22"/>
        </w:rPr>
        <w:t>(Providence, R</w:t>
      </w:r>
      <w:r>
        <w:rPr>
          <w:sz w:val="22"/>
          <w:szCs w:val="22"/>
        </w:rPr>
        <w:t xml:space="preserve">I: Tuttle Printers, 1950), </w:t>
      </w:r>
      <w:r w:rsidR="00D60ED0">
        <w:rPr>
          <w:sz w:val="22"/>
          <w:szCs w:val="22"/>
        </w:rPr>
        <w:t>2:</w:t>
      </w:r>
      <w:r>
        <w:rPr>
          <w:sz w:val="22"/>
          <w:szCs w:val="22"/>
        </w:rPr>
        <w:t>399-401</w:t>
      </w:r>
      <w:r w:rsidRPr="00C931ED">
        <w:rPr>
          <w:sz w:val="22"/>
          <w:szCs w:val="22"/>
        </w:rPr>
        <w:t>.</w:t>
      </w:r>
    </w:p>
    <w:p w14:paraId="3E778D4E" w14:textId="77777777" w:rsidR="00E77480" w:rsidRPr="00CC5999" w:rsidRDefault="00E77480" w:rsidP="009C4D11"/>
    <w:p w14:paraId="0B74C221" w14:textId="77777777" w:rsidR="00D60ED0" w:rsidRDefault="00D60ED0" w:rsidP="009C4D11">
      <w:r>
        <w:t xml:space="preserve">     Common references can be used: b</w:t>
      </w:r>
      <w:r w:rsidR="00E77480">
        <w:t>irth, death, and marriage certificates “BC,” “DC,” or “M</w:t>
      </w:r>
      <w:r>
        <w:t xml:space="preserve">C,” respectively, birth, death, and marriage records “BR,” “DR,” or “MR,” respectively; and, marriage license “ML.” </w:t>
      </w:r>
      <w:r w:rsidR="00E77480">
        <w:t xml:space="preserve">  Their origins are obvious, so no additional description is required.  </w:t>
      </w:r>
      <w:r w:rsidR="00E77480" w:rsidRPr="00E77480">
        <w:rPr>
          <w:i/>
        </w:rPr>
        <w:t>Please refrain from providing a discussion or description of what is contained in the reference document.</w:t>
      </w:r>
      <w:r w:rsidR="00E77480">
        <w:t xml:space="preserve">  That information is interpreted by the Genealogist General</w:t>
      </w:r>
      <w:r>
        <w:t>.</w:t>
      </w:r>
    </w:p>
    <w:p w14:paraId="194828D5" w14:textId="232372EF" w:rsidR="00E77480" w:rsidRDefault="00E77480" w:rsidP="009C4D11"/>
    <w:p w14:paraId="21FD0B39" w14:textId="1AF91051" w:rsidR="00075BCA" w:rsidRDefault="00075BCA" w:rsidP="009C4D11">
      <w:r>
        <w:t>For example:</w:t>
      </w:r>
    </w:p>
    <w:p w14:paraId="5F3AAFFE" w14:textId="697E7EAF" w:rsidR="00075BCA" w:rsidRDefault="00075BCA" w:rsidP="009C4D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305"/>
      </w:tblGrid>
      <w:tr w:rsidR="00075BCA" w:rsidRPr="00AF778F" w14:paraId="1A40C921" w14:textId="77777777" w:rsidTr="00EF7B5E">
        <w:tc>
          <w:tcPr>
            <w:tcW w:w="5485" w:type="dxa"/>
            <w:shd w:val="clear" w:color="auto" w:fill="auto"/>
          </w:tcPr>
          <w:p w14:paraId="01ECE15A" w14:textId="4EA63A63"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The said   </w:t>
            </w:r>
            <w:bookmarkStart w:id="1" w:name="_Hlk480377285"/>
            <w:r w:rsidRPr="00AF778F">
              <w:rPr>
                <w:rFonts w:ascii="Calibri" w:hAnsi="Calibri" w:cs="Calibri"/>
                <w:sz w:val="22"/>
                <w:szCs w:val="22"/>
              </w:rPr>
              <w:t xml:space="preserve">         </w:t>
            </w:r>
            <w:r>
              <w:rPr>
                <w:rFonts w:ascii="Calibri" w:hAnsi="Calibri" w:cs="Calibri"/>
                <w:sz w:val="22"/>
                <w:szCs w:val="22"/>
              </w:rPr>
              <w:t>Hester Cunningham</w:t>
            </w:r>
            <w:r w:rsidRPr="00AF778F">
              <w:rPr>
                <w:rFonts w:ascii="Calibri" w:hAnsi="Calibri" w:cs="Calibri"/>
                <w:sz w:val="22"/>
                <w:szCs w:val="22"/>
              </w:rPr>
              <w:t xml:space="preserve">                                                                   </w:t>
            </w:r>
            <w:bookmarkEnd w:id="1"/>
          </w:p>
        </w:tc>
        <w:tc>
          <w:tcPr>
            <w:tcW w:w="5305" w:type="dxa"/>
            <w:shd w:val="clear" w:color="auto" w:fill="auto"/>
          </w:tcPr>
          <w:p w14:paraId="778DE96C" w14:textId="152E0499"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was the child of         </w:t>
            </w:r>
            <w:r>
              <w:rPr>
                <w:rFonts w:ascii="Calibri" w:hAnsi="Calibri" w:cs="Calibri"/>
                <w:sz w:val="22"/>
                <w:szCs w:val="22"/>
              </w:rPr>
              <w:t>Phineas Cunningham</w:t>
            </w:r>
            <w:r w:rsidRPr="00AF778F">
              <w:rPr>
                <w:rFonts w:ascii="Calibri" w:hAnsi="Calibri" w:cs="Calibri"/>
                <w:sz w:val="22"/>
                <w:szCs w:val="22"/>
              </w:rPr>
              <w:t xml:space="preserve">                                                     </w:t>
            </w:r>
          </w:p>
        </w:tc>
      </w:tr>
      <w:tr w:rsidR="00075BCA" w:rsidRPr="00AF778F" w14:paraId="770EEB7C" w14:textId="77777777" w:rsidTr="00EF7B5E">
        <w:tc>
          <w:tcPr>
            <w:tcW w:w="10790" w:type="dxa"/>
            <w:gridSpan w:val="2"/>
            <w:shd w:val="clear" w:color="auto" w:fill="auto"/>
          </w:tcPr>
          <w:p w14:paraId="4270A8F7" w14:textId="7E9D4B7B" w:rsidR="00075BCA" w:rsidRPr="00AF778F" w:rsidRDefault="00DC7B1C" w:rsidP="00075BCA">
            <w:pPr>
              <w:pStyle w:val="ListParagraph"/>
              <w:ind w:left="162"/>
              <w:rPr>
                <w:rFonts w:ascii="Calibri" w:hAnsi="Calibri" w:cs="Calibri"/>
                <w:sz w:val="22"/>
                <w:szCs w:val="22"/>
              </w:rPr>
            </w:pPr>
            <w:r>
              <w:rPr>
                <w:rFonts w:ascii="Calibri" w:hAnsi="Calibri" w:cs="Calibri"/>
                <w:sz w:val="22"/>
                <w:szCs w:val="22"/>
              </w:rPr>
              <w:t>8.</w:t>
            </w:r>
            <w:r w:rsidR="00075BCA" w:rsidRPr="00AF778F">
              <w:rPr>
                <w:rFonts w:ascii="Calibri" w:hAnsi="Calibri" w:cs="Calibri"/>
                <w:sz w:val="22"/>
                <w:szCs w:val="22"/>
              </w:rPr>
              <w:t xml:space="preserve">                                                                                                                                                                                                   </w:t>
            </w:r>
          </w:p>
        </w:tc>
      </w:tr>
      <w:tr w:rsidR="00075BCA" w:rsidRPr="00AF778F" w14:paraId="60B76757" w14:textId="77777777" w:rsidTr="00EF7B5E">
        <w:tc>
          <w:tcPr>
            <w:tcW w:w="5485" w:type="dxa"/>
            <w:shd w:val="clear" w:color="auto" w:fill="auto"/>
          </w:tcPr>
          <w:p w14:paraId="126CF97F" w14:textId="0608495D"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born at:             </w:t>
            </w:r>
            <w:r>
              <w:rPr>
                <w:rFonts w:ascii="Calibri" w:hAnsi="Calibri" w:cs="Calibri"/>
                <w:sz w:val="22"/>
                <w:szCs w:val="22"/>
              </w:rPr>
              <w:t>Hebron, CT</w:t>
            </w:r>
            <w:r w:rsidRPr="00AF778F">
              <w:rPr>
                <w:rFonts w:ascii="Calibri" w:hAnsi="Calibri" w:cs="Calibri"/>
                <w:sz w:val="22"/>
                <w:szCs w:val="22"/>
              </w:rPr>
              <w:t xml:space="preserve">                                                                  </w:t>
            </w:r>
          </w:p>
        </w:tc>
        <w:tc>
          <w:tcPr>
            <w:tcW w:w="5305" w:type="dxa"/>
            <w:shd w:val="clear" w:color="auto" w:fill="auto"/>
          </w:tcPr>
          <w:p w14:paraId="79AC43F1" w14:textId="682338DB"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Pr>
                <w:rFonts w:ascii="Calibri" w:hAnsi="Calibri" w:cs="Calibri"/>
                <w:sz w:val="22"/>
                <w:szCs w:val="22"/>
              </w:rPr>
              <w:t>24 Jun 1727</w:t>
            </w:r>
            <w:r w:rsidRPr="00AF778F">
              <w:rPr>
                <w:rFonts w:ascii="Calibri" w:hAnsi="Calibri" w:cs="Calibri"/>
                <w:sz w:val="22"/>
                <w:szCs w:val="22"/>
              </w:rPr>
              <w:t xml:space="preserve">                                                                          </w:t>
            </w:r>
          </w:p>
        </w:tc>
      </w:tr>
      <w:tr w:rsidR="00075BCA" w:rsidRPr="00AF778F" w14:paraId="05B0373A" w14:textId="77777777" w:rsidTr="00EF7B5E">
        <w:tc>
          <w:tcPr>
            <w:tcW w:w="5485" w:type="dxa"/>
            <w:shd w:val="clear" w:color="auto" w:fill="auto"/>
          </w:tcPr>
          <w:p w14:paraId="770458EE" w14:textId="63AC2CBD"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died at:              </w:t>
            </w:r>
            <w:r>
              <w:rPr>
                <w:rFonts w:ascii="Calibri" w:hAnsi="Calibri" w:cs="Calibri"/>
                <w:sz w:val="22"/>
                <w:szCs w:val="22"/>
              </w:rPr>
              <w:t>Chadds Ford, PA</w:t>
            </w:r>
            <w:r w:rsidRPr="00AF778F">
              <w:rPr>
                <w:rFonts w:ascii="Calibri" w:hAnsi="Calibri" w:cs="Calibri"/>
                <w:sz w:val="22"/>
                <w:szCs w:val="22"/>
              </w:rPr>
              <w:t xml:space="preserve">                                                                </w:t>
            </w:r>
          </w:p>
        </w:tc>
        <w:tc>
          <w:tcPr>
            <w:tcW w:w="5305" w:type="dxa"/>
            <w:shd w:val="clear" w:color="auto" w:fill="auto"/>
          </w:tcPr>
          <w:p w14:paraId="7CD4AAFA" w14:textId="7174258F"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Pr>
                <w:rFonts w:ascii="Calibri" w:hAnsi="Calibri" w:cs="Calibri"/>
                <w:sz w:val="22"/>
                <w:szCs w:val="22"/>
              </w:rPr>
              <w:t>11 Sep 1777</w:t>
            </w:r>
            <w:r w:rsidRPr="00AF778F">
              <w:rPr>
                <w:rFonts w:ascii="Calibri" w:hAnsi="Calibri" w:cs="Calibri"/>
                <w:sz w:val="22"/>
                <w:szCs w:val="22"/>
              </w:rPr>
              <w:t xml:space="preserve">                                                                         </w:t>
            </w:r>
          </w:p>
        </w:tc>
      </w:tr>
      <w:tr w:rsidR="00075BCA" w:rsidRPr="00AF778F" w14:paraId="063BEDBF" w14:textId="77777777" w:rsidTr="00EF7B5E">
        <w:tc>
          <w:tcPr>
            <w:tcW w:w="5485" w:type="dxa"/>
            <w:shd w:val="clear" w:color="auto" w:fill="auto"/>
          </w:tcPr>
          <w:p w14:paraId="54437008" w14:textId="18554D7A"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married on:       </w:t>
            </w:r>
            <w:r>
              <w:rPr>
                <w:rFonts w:ascii="Calibri" w:hAnsi="Calibri" w:cs="Calibri"/>
                <w:sz w:val="22"/>
                <w:szCs w:val="22"/>
              </w:rPr>
              <w:t>30 Jun 1752</w:t>
            </w:r>
            <w:r w:rsidRPr="00AF778F">
              <w:rPr>
                <w:rFonts w:ascii="Calibri" w:hAnsi="Calibri" w:cs="Calibri"/>
                <w:sz w:val="22"/>
                <w:szCs w:val="22"/>
              </w:rPr>
              <w:t xml:space="preserve">                                                                 </w:t>
            </w:r>
          </w:p>
        </w:tc>
        <w:tc>
          <w:tcPr>
            <w:tcW w:w="5305" w:type="dxa"/>
            <w:shd w:val="clear" w:color="auto" w:fill="auto"/>
          </w:tcPr>
          <w:p w14:paraId="3A2DB315" w14:textId="5FBBB5F7"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to             </w:t>
            </w:r>
            <w:r>
              <w:rPr>
                <w:rFonts w:ascii="Calibri" w:hAnsi="Calibri" w:cs="Calibri"/>
                <w:sz w:val="22"/>
                <w:szCs w:val="22"/>
              </w:rPr>
              <w:t>Joanna Bartlett</w:t>
            </w:r>
            <w:r w:rsidRPr="00AF778F">
              <w:rPr>
                <w:rFonts w:ascii="Calibri" w:hAnsi="Calibri" w:cs="Calibri"/>
                <w:sz w:val="22"/>
                <w:szCs w:val="22"/>
              </w:rPr>
              <w:t xml:space="preserve">                                                                         </w:t>
            </w:r>
          </w:p>
        </w:tc>
      </w:tr>
      <w:tr w:rsidR="00075BCA" w:rsidRPr="00AF778F" w14:paraId="0EEFB909" w14:textId="77777777" w:rsidTr="00EF7B5E">
        <w:tc>
          <w:tcPr>
            <w:tcW w:w="5485" w:type="dxa"/>
            <w:shd w:val="clear" w:color="auto" w:fill="auto"/>
          </w:tcPr>
          <w:p w14:paraId="441C65F1" w14:textId="2C5D44DC"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born at:              </w:t>
            </w:r>
            <w:r>
              <w:rPr>
                <w:rFonts w:ascii="Calibri" w:hAnsi="Calibri" w:cs="Calibri"/>
                <w:sz w:val="22"/>
                <w:szCs w:val="22"/>
              </w:rPr>
              <w:t>Hebron, CT</w:t>
            </w:r>
            <w:r w:rsidRPr="00AF778F">
              <w:rPr>
                <w:rFonts w:ascii="Calibri" w:hAnsi="Calibri" w:cs="Calibri"/>
                <w:sz w:val="22"/>
                <w:szCs w:val="22"/>
              </w:rPr>
              <w:t xml:space="preserve">                                                                </w:t>
            </w:r>
          </w:p>
        </w:tc>
        <w:tc>
          <w:tcPr>
            <w:tcW w:w="5305" w:type="dxa"/>
            <w:shd w:val="clear" w:color="auto" w:fill="auto"/>
          </w:tcPr>
          <w:p w14:paraId="107FB92D" w14:textId="62A0A31F"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Pr>
                <w:rFonts w:ascii="Calibri" w:hAnsi="Calibri" w:cs="Calibri"/>
                <w:sz w:val="22"/>
                <w:szCs w:val="22"/>
              </w:rPr>
              <w:t>03 Apr 1730</w:t>
            </w:r>
            <w:r w:rsidRPr="00AF778F">
              <w:rPr>
                <w:rFonts w:ascii="Calibri" w:hAnsi="Calibri" w:cs="Calibri"/>
                <w:sz w:val="22"/>
                <w:szCs w:val="22"/>
              </w:rPr>
              <w:t xml:space="preserve">                                                                         </w:t>
            </w:r>
          </w:p>
        </w:tc>
      </w:tr>
      <w:tr w:rsidR="00075BCA" w:rsidRPr="00AF778F" w14:paraId="608976FE" w14:textId="77777777" w:rsidTr="00EF7B5E">
        <w:tc>
          <w:tcPr>
            <w:tcW w:w="5485" w:type="dxa"/>
            <w:shd w:val="clear" w:color="auto" w:fill="auto"/>
          </w:tcPr>
          <w:p w14:paraId="1D9A3EE7" w14:textId="5812DD20"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died at:               </w:t>
            </w:r>
            <w:r>
              <w:rPr>
                <w:rFonts w:ascii="Calibri" w:hAnsi="Calibri" w:cs="Calibri"/>
                <w:sz w:val="22"/>
                <w:szCs w:val="22"/>
              </w:rPr>
              <w:t>Hebron, CT</w:t>
            </w:r>
            <w:r w:rsidRPr="00AF778F">
              <w:rPr>
                <w:rFonts w:ascii="Calibri" w:hAnsi="Calibri" w:cs="Calibri"/>
                <w:sz w:val="22"/>
                <w:szCs w:val="22"/>
              </w:rPr>
              <w:t xml:space="preserve">                                                                </w:t>
            </w:r>
          </w:p>
        </w:tc>
        <w:tc>
          <w:tcPr>
            <w:tcW w:w="5305" w:type="dxa"/>
            <w:shd w:val="clear" w:color="auto" w:fill="auto"/>
          </w:tcPr>
          <w:p w14:paraId="416BD2F9" w14:textId="45AEAA7A"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Pr>
                <w:rFonts w:ascii="Calibri" w:hAnsi="Calibri" w:cs="Calibri"/>
                <w:sz w:val="22"/>
                <w:szCs w:val="22"/>
              </w:rPr>
              <w:t>30 Sep 1790</w:t>
            </w:r>
            <w:r w:rsidRPr="00AF778F">
              <w:rPr>
                <w:rFonts w:ascii="Calibri" w:hAnsi="Calibri" w:cs="Calibri"/>
                <w:sz w:val="22"/>
                <w:szCs w:val="22"/>
              </w:rPr>
              <w:t xml:space="preserve">                                                                        </w:t>
            </w:r>
          </w:p>
        </w:tc>
      </w:tr>
      <w:tr w:rsidR="00075BCA" w:rsidRPr="00AF778F" w14:paraId="7D172861" w14:textId="77777777" w:rsidTr="00EF7B5E">
        <w:tc>
          <w:tcPr>
            <w:tcW w:w="5485" w:type="dxa"/>
            <w:shd w:val="clear" w:color="auto" w:fill="auto"/>
          </w:tcPr>
          <w:p w14:paraId="14A6D4A1" w14:textId="199028F4" w:rsidR="00075BCA" w:rsidRPr="00AF778F" w:rsidRDefault="00075BCA" w:rsidP="00EF7B5E">
            <w:pPr>
              <w:rPr>
                <w:rFonts w:ascii="Calibri" w:hAnsi="Calibri" w:cs="Calibri"/>
                <w:sz w:val="22"/>
                <w:szCs w:val="22"/>
              </w:rPr>
            </w:pPr>
            <w:r w:rsidRPr="00AF778F">
              <w:rPr>
                <w:rFonts w:ascii="Calibri" w:hAnsi="Calibri" w:cs="Calibri"/>
                <w:sz w:val="22"/>
                <w:szCs w:val="22"/>
              </w:rPr>
              <w:lastRenderedPageBreak/>
              <w:t xml:space="preserve">married at:          </w:t>
            </w:r>
            <w:r>
              <w:rPr>
                <w:rFonts w:ascii="Calibri" w:hAnsi="Calibri" w:cs="Calibri"/>
                <w:sz w:val="22"/>
                <w:szCs w:val="22"/>
              </w:rPr>
              <w:t>Hebron, CT</w:t>
            </w:r>
            <w:r w:rsidRPr="00AF778F">
              <w:rPr>
                <w:rFonts w:ascii="Calibri" w:hAnsi="Calibri" w:cs="Calibri"/>
                <w:sz w:val="22"/>
                <w:szCs w:val="22"/>
              </w:rPr>
              <w:t xml:space="preserve">                                                               </w:t>
            </w:r>
          </w:p>
        </w:tc>
        <w:tc>
          <w:tcPr>
            <w:tcW w:w="5305" w:type="dxa"/>
            <w:shd w:val="clear" w:color="auto" w:fill="auto"/>
          </w:tcPr>
          <w:p w14:paraId="5F37DC9C" w14:textId="77777777" w:rsidR="00075BCA" w:rsidRPr="00AF778F" w:rsidRDefault="00075BCA" w:rsidP="00EF7B5E">
            <w:pPr>
              <w:rPr>
                <w:rFonts w:ascii="Calibri" w:hAnsi="Calibri" w:cs="Calibri"/>
                <w:sz w:val="22"/>
                <w:szCs w:val="22"/>
              </w:rPr>
            </w:pPr>
          </w:p>
        </w:tc>
      </w:tr>
      <w:tr w:rsidR="00075BCA" w:rsidRPr="00AF778F" w14:paraId="340DD812" w14:textId="77777777" w:rsidTr="00EF7B5E">
        <w:tc>
          <w:tcPr>
            <w:tcW w:w="10790" w:type="dxa"/>
            <w:gridSpan w:val="2"/>
            <w:shd w:val="clear" w:color="auto" w:fill="auto"/>
          </w:tcPr>
          <w:p w14:paraId="7C751E06" w14:textId="1BF82997"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Proof:      </w:t>
            </w:r>
            <w:r>
              <w:rPr>
                <w:rFonts w:ascii="Calibri" w:hAnsi="Calibri" w:cs="Calibri"/>
                <w:sz w:val="22"/>
                <w:szCs w:val="22"/>
              </w:rPr>
              <w:t>Barbour Coll. – Hebron; Jolene Roberts Mullen.  Connecticut Town Meeting Records during the American Revolution, Vol. I.  (Westminster, MD:  Heritage Books, 2011), p. 439</w:t>
            </w:r>
            <w:r w:rsidRPr="00AF778F">
              <w:rPr>
                <w:rFonts w:ascii="Calibri" w:hAnsi="Calibri" w:cs="Calibri"/>
                <w:sz w:val="22"/>
                <w:szCs w:val="22"/>
              </w:rPr>
              <w:t xml:space="preserve">                                                                                                                                                                                       </w:t>
            </w:r>
          </w:p>
        </w:tc>
      </w:tr>
    </w:tbl>
    <w:p w14:paraId="1227092D" w14:textId="77777777" w:rsidR="00075BCA" w:rsidRDefault="00075BCA" w:rsidP="00075BC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305"/>
      </w:tblGrid>
      <w:tr w:rsidR="00075BCA" w:rsidRPr="00AF778F" w14:paraId="2763268C" w14:textId="77777777" w:rsidTr="00EF7B5E">
        <w:tc>
          <w:tcPr>
            <w:tcW w:w="5485" w:type="dxa"/>
            <w:shd w:val="clear" w:color="auto" w:fill="auto"/>
          </w:tcPr>
          <w:p w14:paraId="7E97C6A1" w14:textId="27CDD063"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The said                </w:t>
            </w:r>
            <w:r>
              <w:rPr>
                <w:rFonts w:ascii="Calibri" w:hAnsi="Calibri" w:cs="Calibri"/>
                <w:sz w:val="22"/>
                <w:szCs w:val="22"/>
              </w:rPr>
              <w:t>Joanna Bartlett</w:t>
            </w:r>
            <w:r w:rsidRPr="00AF778F">
              <w:rPr>
                <w:rFonts w:ascii="Calibri" w:hAnsi="Calibri" w:cs="Calibri"/>
                <w:sz w:val="22"/>
                <w:szCs w:val="22"/>
              </w:rPr>
              <w:t xml:space="preserve">                                                               </w:t>
            </w:r>
          </w:p>
        </w:tc>
        <w:tc>
          <w:tcPr>
            <w:tcW w:w="5305" w:type="dxa"/>
            <w:shd w:val="clear" w:color="auto" w:fill="auto"/>
          </w:tcPr>
          <w:p w14:paraId="1FAC130A" w14:textId="17253BB0"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was the child of       </w:t>
            </w:r>
            <w:r w:rsidR="00EA09FC">
              <w:rPr>
                <w:rFonts w:ascii="Calibri" w:hAnsi="Calibri" w:cs="Calibri"/>
                <w:sz w:val="22"/>
                <w:szCs w:val="22"/>
              </w:rPr>
              <w:t>Joseph Bartlett</w:t>
            </w:r>
            <w:r w:rsidRPr="00AF778F">
              <w:rPr>
                <w:rFonts w:ascii="Calibri" w:hAnsi="Calibri" w:cs="Calibri"/>
                <w:sz w:val="22"/>
                <w:szCs w:val="22"/>
              </w:rPr>
              <w:t xml:space="preserve">                                                       </w:t>
            </w:r>
          </w:p>
        </w:tc>
      </w:tr>
      <w:tr w:rsidR="00075BCA" w:rsidRPr="00AF778F" w14:paraId="757762B5" w14:textId="77777777" w:rsidTr="00EF7B5E">
        <w:tc>
          <w:tcPr>
            <w:tcW w:w="10790" w:type="dxa"/>
            <w:gridSpan w:val="2"/>
            <w:shd w:val="clear" w:color="auto" w:fill="auto"/>
          </w:tcPr>
          <w:p w14:paraId="21CAA061" w14:textId="1FAFC512" w:rsidR="00075BCA" w:rsidRPr="00AF778F" w:rsidRDefault="00075BCA" w:rsidP="00EA09FC">
            <w:pPr>
              <w:pStyle w:val="ListParagraph"/>
              <w:ind w:left="162"/>
              <w:rPr>
                <w:rFonts w:ascii="Calibri" w:hAnsi="Calibri" w:cs="Calibri"/>
                <w:sz w:val="22"/>
                <w:szCs w:val="22"/>
              </w:rPr>
            </w:pPr>
            <w:r w:rsidRPr="00AF778F">
              <w:rPr>
                <w:rFonts w:ascii="Calibri" w:hAnsi="Calibri" w:cs="Calibri"/>
                <w:sz w:val="22"/>
                <w:szCs w:val="22"/>
              </w:rPr>
              <w:t xml:space="preserve">  </w:t>
            </w:r>
            <w:r w:rsidR="00DC7B1C">
              <w:rPr>
                <w:rFonts w:ascii="Calibri" w:hAnsi="Calibri" w:cs="Calibri"/>
                <w:sz w:val="22"/>
                <w:szCs w:val="22"/>
              </w:rPr>
              <w:t>9.</w:t>
            </w:r>
            <w:r w:rsidRPr="00AF778F">
              <w:rPr>
                <w:rFonts w:ascii="Calibri" w:hAnsi="Calibri" w:cs="Calibri"/>
                <w:sz w:val="22"/>
                <w:szCs w:val="22"/>
              </w:rPr>
              <w:t xml:space="preserve">                                                                                                                                                                                               </w:t>
            </w:r>
          </w:p>
        </w:tc>
      </w:tr>
      <w:tr w:rsidR="00075BCA" w:rsidRPr="00AF778F" w14:paraId="68A4D323" w14:textId="77777777" w:rsidTr="00EF7B5E">
        <w:tc>
          <w:tcPr>
            <w:tcW w:w="5485" w:type="dxa"/>
            <w:shd w:val="clear" w:color="auto" w:fill="auto"/>
          </w:tcPr>
          <w:p w14:paraId="00129FCF" w14:textId="3AB2F2F8"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born at:                </w:t>
            </w:r>
            <w:r w:rsidR="00EA09FC">
              <w:rPr>
                <w:rFonts w:ascii="Calibri" w:hAnsi="Calibri" w:cs="Calibri"/>
                <w:sz w:val="22"/>
                <w:szCs w:val="22"/>
              </w:rPr>
              <w:t>Newport, RI</w:t>
            </w:r>
            <w:r w:rsidRPr="00AF778F">
              <w:rPr>
                <w:rFonts w:ascii="Calibri" w:hAnsi="Calibri" w:cs="Calibri"/>
                <w:sz w:val="22"/>
                <w:szCs w:val="22"/>
              </w:rPr>
              <w:t xml:space="preserve">                                                               </w:t>
            </w:r>
          </w:p>
        </w:tc>
        <w:tc>
          <w:tcPr>
            <w:tcW w:w="5305" w:type="dxa"/>
            <w:shd w:val="clear" w:color="auto" w:fill="auto"/>
          </w:tcPr>
          <w:p w14:paraId="65898AF5" w14:textId="0C9FB689"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sidR="00EA09FC">
              <w:rPr>
                <w:rFonts w:ascii="Calibri" w:hAnsi="Calibri" w:cs="Calibri"/>
                <w:sz w:val="22"/>
                <w:szCs w:val="22"/>
              </w:rPr>
              <w:t>18 May 1700</w:t>
            </w:r>
            <w:r w:rsidRPr="00AF778F">
              <w:rPr>
                <w:rFonts w:ascii="Calibri" w:hAnsi="Calibri" w:cs="Calibri"/>
                <w:sz w:val="22"/>
                <w:szCs w:val="22"/>
              </w:rPr>
              <w:t xml:space="preserve">                                                                               </w:t>
            </w:r>
          </w:p>
        </w:tc>
      </w:tr>
      <w:tr w:rsidR="00075BCA" w:rsidRPr="00AF778F" w14:paraId="08AFC951" w14:textId="77777777" w:rsidTr="00EF7B5E">
        <w:tc>
          <w:tcPr>
            <w:tcW w:w="5485" w:type="dxa"/>
            <w:shd w:val="clear" w:color="auto" w:fill="auto"/>
          </w:tcPr>
          <w:p w14:paraId="1644D00A" w14:textId="3AB0E9AA"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died at:                 </w:t>
            </w:r>
            <w:r w:rsidR="00EA09FC">
              <w:rPr>
                <w:rFonts w:ascii="Calibri" w:hAnsi="Calibri" w:cs="Calibri"/>
                <w:sz w:val="22"/>
                <w:szCs w:val="22"/>
              </w:rPr>
              <w:t>Hebron, CT</w:t>
            </w:r>
            <w:r w:rsidRPr="00AF778F">
              <w:rPr>
                <w:rFonts w:ascii="Calibri" w:hAnsi="Calibri" w:cs="Calibri"/>
                <w:sz w:val="22"/>
                <w:szCs w:val="22"/>
              </w:rPr>
              <w:t xml:space="preserve">                                                              </w:t>
            </w:r>
          </w:p>
        </w:tc>
        <w:tc>
          <w:tcPr>
            <w:tcW w:w="5305" w:type="dxa"/>
            <w:shd w:val="clear" w:color="auto" w:fill="auto"/>
          </w:tcPr>
          <w:p w14:paraId="68EDDFCE" w14:textId="1EC7C404"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sidR="00EA09FC">
              <w:rPr>
                <w:rFonts w:ascii="Calibri" w:hAnsi="Calibri" w:cs="Calibri"/>
                <w:sz w:val="22"/>
                <w:szCs w:val="22"/>
              </w:rPr>
              <w:t xml:space="preserve"> 12 Dec 1789</w:t>
            </w:r>
            <w:r w:rsidRPr="00AF778F">
              <w:rPr>
                <w:rFonts w:ascii="Calibri" w:hAnsi="Calibri" w:cs="Calibri"/>
                <w:sz w:val="22"/>
                <w:szCs w:val="22"/>
              </w:rPr>
              <w:t xml:space="preserve">                                                                              </w:t>
            </w:r>
          </w:p>
        </w:tc>
      </w:tr>
      <w:tr w:rsidR="00075BCA" w:rsidRPr="00AF778F" w14:paraId="701312E1" w14:textId="77777777" w:rsidTr="00EF7B5E">
        <w:tc>
          <w:tcPr>
            <w:tcW w:w="5485" w:type="dxa"/>
            <w:shd w:val="clear" w:color="auto" w:fill="auto"/>
          </w:tcPr>
          <w:p w14:paraId="5ACAD5FB" w14:textId="4DEFF017"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married on:         </w:t>
            </w:r>
            <w:r w:rsidR="00EA09FC">
              <w:rPr>
                <w:rFonts w:ascii="Calibri" w:hAnsi="Calibri" w:cs="Calibri"/>
                <w:sz w:val="22"/>
                <w:szCs w:val="22"/>
              </w:rPr>
              <w:t>06 Jul 1725</w:t>
            </w:r>
            <w:r w:rsidRPr="00AF778F">
              <w:rPr>
                <w:rFonts w:ascii="Calibri" w:hAnsi="Calibri" w:cs="Calibri"/>
                <w:sz w:val="22"/>
                <w:szCs w:val="22"/>
              </w:rPr>
              <w:t xml:space="preserve">                                                               </w:t>
            </w:r>
          </w:p>
        </w:tc>
        <w:tc>
          <w:tcPr>
            <w:tcW w:w="5305" w:type="dxa"/>
            <w:shd w:val="clear" w:color="auto" w:fill="auto"/>
          </w:tcPr>
          <w:p w14:paraId="327FE8CF" w14:textId="21DD7FFA"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to        </w:t>
            </w:r>
            <w:r w:rsidR="00EA09FC">
              <w:rPr>
                <w:rFonts w:ascii="Calibri" w:hAnsi="Calibri" w:cs="Calibri"/>
                <w:sz w:val="22"/>
                <w:szCs w:val="22"/>
              </w:rPr>
              <w:t>Rachel Mann</w:t>
            </w:r>
            <w:r w:rsidRPr="00AF778F">
              <w:rPr>
                <w:rFonts w:ascii="Calibri" w:hAnsi="Calibri" w:cs="Calibri"/>
                <w:sz w:val="22"/>
                <w:szCs w:val="22"/>
              </w:rPr>
              <w:t xml:space="preserve">                                                                              </w:t>
            </w:r>
          </w:p>
        </w:tc>
      </w:tr>
      <w:tr w:rsidR="00075BCA" w:rsidRPr="00AF778F" w14:paraId="2B1D6820" w14:textId="77777777" w:rsidTr="00EF7B5E">
        <w:tc>
          <w:tcPr>
            <w:tcW w:w="5485" w:type="dxa"/>
            <w:shd w:val="clear" w:color="auto" w:fill="auto"/>
          </w:tcPr>
          <w:p w14:paraId="26C83F18" w14:textId="7D3E47E4"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born at:                </w:t>
            </w:r>
            <w:r w:rsidR="00EA09FC">
              <w:rPr>
                <w:rFonts w:ascii="Calibri" w:hAnsi="Calibri" w:cs="Calibri"/>
                <w:sz w:val="22"/>
                <w:szCs w:val="22"/>
              </w:rPr>
              <w:t>Little Compton, RI</w:t>
            </w:r>
            <w:r w:rsidRPr="00AF778F">
              <w:rPr>
                <w:rFonts w:ascii="Calibri" w:hAnsi="Calibri" w:cs="Calibri"/>
                <w:sz w:val="22"/>
                <w:szCs w:val="22"/>
              </w:rPr>
              <w:t xml:space="preserve">                                                              </w:t>
            </w:r>
          </w:p>
        </w:tc>
        <w:tc>
          <w:tcPr>
            <w:tcW w:w="5305" w:type="dxa"/>
            <w:shd w:val="clear" w:color="auto" w:fill="auto"/>
          </w:tcPr>
          <w:p w14:paraId="6B295136" w14:textId="3B5AC39F"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sidR="00EA09FC">
              <w:rPr>
                <w:rFonts w:ascii="Calibri" w:hAnsi="Calibri" w:cs="Calibri"/>
                <w:sz w:val="22"/>
                <w:szCs w:val="22"/>
              </w:rPr>
              <w:t>05 Jan 1700/01</w:t>
            </w:r>
            <w:r w:rsidRPr="00AF778F">
              <w:rPr>
                <w:rFonts w:ascii="Calibri" w:hAnsi="Calibri" w:cs="Calibri"/>
                <w:sz w:val="22"/>
                <w:szCs w:val="22"/>
              </w:rPr>
              <w:t xml:space="preserve">                                                                             </w:t>
            </w:r>
          </w:p>
        </w:tc>
      </w:tr>
      <w:tr w:rsidR="00075BCA" w:rsidRPr="00AF778F" w14:paraId="1F6EE60B" w14:textId="77777777" w:rsidTr="00EF7B5E">
        <w:tc>
          <w:tcPr>
            <w:tcW w:w="5485" w:type="dxa"/>
            <w:shd w:val="clear" w:color="auto" w:fill="auto"/>
          </w:tcPr>
          <w:p w14:paraId="22304F7F" w14:textId="578B6345"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died at:                 </w:t>
            </w:r>
            <w:r w:rsidR="00EA09FC">
              <w:rPr>
                <w:rFonts w:ascii="Calibri" w:hAnsi="Calibri" w:cs="Calibri"/>
                <w:sz w:val="22"/>
                <w:szCs w:val="22"/>
              </w:rPr>
              <w:t>Hebron, CT</w:t>
            </w:r>
            <w:r w:rsidRPr="00AF778F">
              <w:rPr>
                <w:rFonts w:ascii="Calibri" w:hAnsi="Calibri" w:cs="Calibri"/>
                <w:sz w:val="22"/>
                <w:szCs w:val="22"/>
              </w:rPr>
              <w:t xml:space="preserve">                                                              </w:t>
            </w:r>
          </w:p>
        </w:tc>
        <w:tc>
          <w:tcPr>
            <w:tcW w:w="5305" w:type="dxa"/>
            <w:shd w:val="clear" w:color="auto" w:fill="auto"/>
          </w:tcPr>
          <w:p w14:paraId="326673A2" w14:textId="2B5CE36D"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on        </w:t>
            </w:r>
            <w:r w:rsidR="00EA09FC">
              <w:rPr>
                <w:rFonts w:ascii="Calibri" w:hAnsi="Calibri" w:cs="Calibri"/>
                <w:sz w:val="22"/>
                <w:szCs w:val="22"/>
              </w:rPr>
              <w:t>15 Apr 1731</w:t>
            </w:r>
            <w:r w:rsidRPr="00AF778F">
              <w:rPr>
                <w:rFonts w:ascii="Calibri" w:hAnsi="Calibri" w:cs="Calibri"/>
                <w:sz w:val="22"/>
                <w:szCs w:val="22"/>
              </w:rPr>
              <w:t xml:space="preserve">                                                                             </w:t>
            </w:r>
          </w:p>
        </w:tc>
      </w:tr>
      <w:tr w:rsidR="00075BCA" w:rsidRPr="00AF778F" w14:paraId="12AE25AD" w14:textId="77777777" w:rsidTr="00EF7B5E">
        <w:tc>
          <w:tcPr>
            <w:tcW w:w="5485" w:type="dxa"/>
            <w:shd w:val="clear" w:color="auto" w:fill="auto"/>
          </w:tcPr>
          <w:p w14:paraId="7C7C05D0" w14:textId="56F7D4E1"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married at:           </w:t>
            </w:r>
            <w:r w:rsidR="00EA09FC">
              <w:rPr>
                <w:rFonts w:ascii="Calibri" w:hAnsi="Calibri" w:cs="Calibri"/>
                <w:sz w:val="22"/>
                <w:szCs w:val="22"/>
              </w:rPr>
              <w:t>Hebron, CT</w:t>
            </w:r>
            <w:r w:rsidRPr="00AF778F">
              <w:rPr>
                <w:rFonts w:ascii="Calibri" w:hAnsi="Calibri" w:cs="Calibri"/>
                <w:sz w:val="22"/>
                <w:szCs w:val="22"/>
              </w:rPr>
              <w:t xml:space="preserve">                                                              </w:t>
            </w:r>
          </w:p>
        </w:tc>
        <w:tc>
          <w:tcPr>
            <w:tcW w:w="5305" w:type="dxa"/>
            <w:shd w:val="clear" w:color="auto" w:fill="auto"/>
          </w:tcPr>
          <w:p w14:paraId="3CF80A41" w14:textId="77777777" w:rsidR="00075BCA" w:rsidRPr="00AF778F" w:rsidRDefault="00075BCA" w:rsidP="00EF7B5E">
            <w:pPr>
              <w:rPr>
                <w:rFonts w:ascii="Calibri" w:hAnsi="Calibri" w:cs="Calibri"/>
                <w:sz w:val="22"/>
                <w:szCs w:val="22"/>
              </w:rPr>
            </w:pPr>
          </w:p>
        </w:tc>
      </w:tr>
      <w:tr w:rsidR="00075BCA" w:rsidRPr="00AF778F" w14:paraId="09F919D2" w14:textId="77777777" w:rsidTr="00EF7B5E">
        <w:tc>
          <w:tcPr>
            <w:tcW w:w="10790" w:type="dxa"/>
            <w:gridSpan w:val="2"/>
            <w:shd w:val="clear" w:color="auto" w:fill="auto"/>
          </w:tcPr>
          <w:p w14:paraId="3DE80AF4" w14:textId="2F791694" w:rsidR="00075BCA" w:rsidRPr="00AF778F" w:rsidRDefault="00075BCA" w:rsidP="00EF7B5E">
            <w:pPr>
              <w:rPr>
                <w:rFonts w:ascii="Calibri" w:hAnsi="Calibri" w:cs="Calibri"/>
                <w:sz w:val="22"/>
                <w:szCs w:val="22"/>
              </w:rPr>
            </w:pPr>
            <w:r w:rsidRPr="00AF778F">
              <w:rPr>
                <w:rFonts w:ascii="Calibri" w:hAnsi="Calibri" w:cs="Calibri"/>
                <w:sz w:val="22"/>
                <w:szCs w:val="22"/>
              </w:rPr>
              <w:t xml:space="preserve">Proof:                  </w:t>
            </w:r>
            <w:r w:rsidR="00EA09FC">
              <w:rPr>
                <w:rFonts w:ascii="Calibri" w:hAnsi="Calibri" w:cs="Calibri"/>
                <w:sz w:val="22"/>
                <w:szCs w:val="22"/>
              </w:rPr>
              <w:t xml:space="preserve">Barbour Coll. – Hebron; RI VR (Arnold) 2:111; Connecticut Headstone Inscriptions, Charles R. Hale Collection, </w:t>
            </w:r>
            <w:r w:rsidR="001A52AE">
              <w:rPr>
                <w:rFonts w:ascii="Calibri" w:hAnsi="Calibri" w:cs="Calibri"/>
                <w:sz w:val="22"/>
                <w:szCs w:val="22"/>
              </w:rPr>
              <w:t xml:space="preserve">Hebron, CT, </w:t>
            </w:r>
            <w:r w:rsidR="00EA09FC">
              <w:rPr>
                <w:rFonts w:ascii="Calibri" w:hAnsi="Calibri" w:cs="Calibri"/>
                <w:sz w:val="22"/>
                <w:szCs w:val="22"/>
              </w:rPr>
              <w:t>511-2</w:t>
            </w:r>
            <w:r w:rsidRPr="00AF778F">
              <w:rPr>
                <w:rFonts w:ascii="Calibri" w:hAnsi="Calibri" w:cs="Calibri"/>
                <w:sz w:val="22"/>
                <w:szCs w:val="22"/>
              </w:rPr>
              <w:t xml:space="preserve">                                                                                                                                                                           </w:t>
            </w:r>
          </w:p>
        </w:tc>
      </w:tr>
    </w:tbl>
    <w:p w14:paraId="34CEF07E" w14:textId="77777777" w:rsidR="00075BCA" w:rsidRDefault="00075BCA" w:rsidP="009C4D11"/>
    <w:p w14:paraId="005339BE" w14:textId="77777777" w:rsidR="00E77480" w:rsidRDefault="00E77480" w:rsidP="009C4D11">
      <w:r>
        <w:rPr>
          <w:b/>
          <w:u w:val="single"/>
        </w:rPr>
        <w:t>Genealogical Proofs</w:t>
      </w:r>
    </w:p>
    <w:p w14:paraId="13DAD0A5" w14:textId="62C5F506" w:rsidR="00E77480" w:rsidRPr="009C4D11" w:rsidRDefault="00E77480" w:rsidP="009C4D11">
      <w:r>
        <w:t>Acceptable genealogical proofs include birth, death and marriage certificates (or published forms of those records), federal and state population censuses, Social Security applications and death index transcripts, published tombstone transcriptions, photographs of tombstones (with the name and location of cemetery stated), Bible records (must include copyright page), wills, deeds, family histories providing citations to original source materials, and most similar types of documents.</w:t>
      </w:r>
      <w:r w:rsidR="005805E3">
        <w:t xml:space="preserve">  Published obituaries may be used only if the date of death is specifically stated and must include the name of the newspaper and the date of publication.</w:t>
      </w:r>
      <w:r>
        <w:t xml:space="preserve">  </w:t>
      </w:r>
      <w:r>
        <w:rPr>
          <w:b/>
        </w:rPr>
        <w:t>PLEASE NOTE</w:t>
      </w:r>
      <w:r>
        <w:t xml:space="preserve">:  </w:t>
      </w:r>
      <w:r w:rsidRPr="009C4D11">
        <w:rPr>
          <w:b/>
          <w:bCs/>
          <w:caps/>
        </w:rPr>
        <w:t xml:space="preserve">A copy of the title page from all published sources is </w:t>
      </w:r>
      <w:r w:rsidRPr="009C4D11">
        <w:rPr>
          <w:b/>
          <w:bCs/>
          <w:i/>
          <w:iCs/>
          <w:caps/>
        </w:rPr>
        <w:t>necessary</w:t>
      </w:r>
      <w:r w:rsidR="005805E3">
        <w:rPr>
          <w:b/>
          <w:bCs/>
          <w:i/>
          <w:iCs/>
          <w:caps/>
        </w:rPr>
        <w:t xml:space="preserve"> and required</w:t>
      </w:r>
      <w:r>
        <w:t xml:space="preserve">.  ALL PROOFS should be marked with the generation number(s) in </w:t>
      </w:r>
      <w:r w:rsidRPr="001E3B20">
        <w:rPr>
          <w:b/>
          <w:color w:val="FF0000"/>
        </w:rPr>
        <w:t>RED</w:t>
      </w:r>
      <w:r>
        <w:t xml:space="preserve"> </w:t>
      </w:r>
      <w:r w:rsidR="00322BBC">
        <w:t>(e. g.,</w:t>
      </w:r>
      <w:r>
        <w:t xml:space="preserve"> </w:t>
      </w:r>
      <w:r w:rsidRPr="001E3B20">
        <w:rPr>
          <w:b/>
          <w:color w:val="FF0000"/>
        </w:rPr>
        <w:t>GEN 3</w:t>
      </w:r>
      <w:r>
        <w:t>)</w:t>
      </w:r>
      <w:r w:rsidR="00575BB4">
        <w:t xml:space="preserve"> at the top left of the page</w:t>
      </w:r>
      <w:r>
        <w:t>.  Pertinent</w:t>
      </w:r>
      <w:r w:rsidR="00D60ED0">
        <w:t xml:space="preserve"> names, </w:t>
      </w:r>
      <w:r>
        <w:t>dates</w:t>
      </w:r>
      <w:r w:rsidR="00D60ED0">
        <w:t>,</w:t>
      </w:r>
      <w:r>
        <w:t xml:space="preserve"> and locations should be </w:t>
      </w:r>
      <w:r w:rsidRPr="00D60ED0">
        <w:rPr>
          <w:color w:val="FF0000"/>
          <w:u w:val="single"/>
        </w:rPr>
        <w:t>underlined in red</w:t>
      </w:r>
      <w:r>
        <w:rPr>
          <w:color w:val="FF0000"/>
        </w:rPr>
        <w:t>.</w:t>
      </w:r>
      <w:r w:rsidR="009C4D11">
        <w:rPr>
          <w:color w:val="FF0000"/>
        </w:rPr>
        <w:t xml:space="preserve">  </w:t>
      </w:r>
      <w:r w:rsidR="009C4D11">
        <w:t>All proof documents must be legible</w:t>
      </w:r>
      <w:r w:rsidR="00F52795">
        <w:t xml:space="preserve"> and printed on one side only</w:t>
      </w:r>
      <w:r w:rsidR="009C4D11">
        <w:t>.</w:t>
      </w:r>
      <w:r w:rsidR="00662304">
        <w:t xml:space="preserve">  In submitting your application, put the proof documents in generational order, beginning with Generation 1.</w:t>
      </w:r>
    </w:p>
    <w:p w14:paraId="4C82FA45" w14:textId="77777777" w:rsidR="00E77480" w:rsidRPr="00550888" w:rsidRDefault="00E77480" w:rsidP="009C4D11">
      <w:pPr>
        <w:rPr>
          <w:sz w:val="16"/>
          <w:szCs w:val="16"/>
        </w:rPr>
      </w:pPr>
    </w:p>
    <w:p w14:paraId="57C81757" w14:textId="232F5E70" w:rsidR="00E77480" w:rsidRPr="00614105" w:rsidRDefault="00E77480" w:rsidP="009C4D11">
      <w:pPr>
        <w:rPr>
          <w:spacing w:val="-4"/>
        </w:rPr>
      </w:pPr>
      <w:r>
        <w:t xml:space="preserve">We have attempted to make preparation of our application as easy as possible by allowing applicants, </w:t>
      </w:r>
      <w:r w:rsidR="00322BBC">
        <w:t>who</w:t>
      </w:r>
      <w:r>
        <w:t xml:space="preserve"> belong to other lineage societies through their qualifying lineage</w:t>
      </w:r>
      <w:r w:rsidRPr="005D7F02">
        <w:rPr>
          <w:b/>
          <w:bCs/>
        </w:rPr>
        <w:t xml:space="preserve">.  </w:t>
      </w:r>
      <w:r w:rsidR="00614105" w:rsidRPr="00457789">
        <w:rPr>
          <w:spacing w:val="-6"/>
        </w:rPr>
        <w:t>If the</w:t>
      </w:r>
      <w:r w:rsidR="00614105" w:rsidRPr="00457789">
        <w:rPr>
          <w:spacing w:val="-4"/>
        </w:rPr>
        <w:t xml:space="preserve"> applicant has a recently approved lineage paper from another recognized hereditary society</w:t>
      </w:r>
      <w:r w:rsidR="00043519" w:rsidRPr="00457789">
        <w:rPr>
          <w:spacing w:val="-4"/>
        </w:rPr>
        <w:t xml:space="preserve"> (with the exception of the Sons of the American Revolution)</w:t>
      </w:r>
      <w:r w:rsidR="00614105" w:rsidRPr="00457789">
        <w:rPr>
          <w:spacing w:val="-4"/>
        </w:rPr>
        <w:t>,</w:t>
      </w:r>
      <w:r w:rsidR="00614105" w:rsidRPr="005D7F02">
        <w:rPr>
          <w:b/>
          <w:bCs/>
          <w:spacing w:val="-4"/>
        </w:rPr>
        <w:t xml:space="preserve"> it may be used as documentation provided that the lineage paper is “first generation,” i.e. no other lineage society is referenced in the proof documentation area.</w:t>
      </w:r>
      <w:r w:rsidR="00614105">
        <w:rPr>
          <w:spacing w:val="-4"/>
        </w:rPr>
        <w:t xml:space="preserve">  The applicant </w:t>
      </w:r>
      <w:r w:rsidR="00614105">
        <w:t>can</w:t>
      </w:r>
      <w:r>
        <w:t xml:space="preserve"> copy the other society's information to our application without having to send voluminous documentation.  However, even if you have previously proven this lineage, it will be necessary for you to </w:t>
      </w:r>
      <w:r w:rsidRPr="00C931ED">
        <w:rPr>
          <w:b/>
          <w:u w:val="single"/>
        </w:rPr>
        <w:t xml:space="preserve">list the proofs you used </w:t>
      </w:r>
      <w:r w:rsidRPr="00C931ED">
        <w:rPr>
          <w:b/>
          <w:bCs/>
          <w:u w:val="single"/>
        </w:rPr>
        <w:t>as</w:t>
      </w:r>
      <w:r w:rsidRPr="005F4478">
        <w:rPr>
          <w:b/>
          <w:bCs/>
          <w:u w:val="single"/>
        </w:rPr>
        <w:t xml:space="preserve"> though you were proving the lineage for the first time</w:t>
      </w:r>
      <w:r>
        <w:rPr>
          <w:u w:val="single"/>
        </w:rPr>
        <w:t>.</w:t>
      </w:r>
      <w:r>
        <w:t xml:space="preserve">  </w:t>
      </w:r>
      <w:r w:rsidRPr="00D01C42">
        <w:rPr>
          <w:b/>
          <w:bCs/>
          <w:color w:val="FF0000"/>
        </w:rPr>
        <w:t>Do not merely refer to the application of the other society as your evidence.</w:t>
      </w:r>
    </w:p>
    <w:p w14:paraId="323454B3" w14:textId="77777777" w:rsidR="00E77480" w:rsidRDefault="00E77480" w:rsidP="009C4D11">
      <w:pPr>
        <w:rPr>
          <w:b/>
          <w:bCs/>
          <w:color w:val="FF0000"/>
        </w:rPr>
      </w:pPr>
    </w:p>
    <w:p w14:paraId="1CA226AE" w14:textId="77777777" w:rsidR="00E77480" w:rsidRDefault="00E77480" w:rsidP="009C4D11">
      <w:pPr>
        <w:rPr>
          <w:b/>
          <w:bCs/>
          <w:color w:val="FF0000"/>
        </w:rPr>
      </w:pPr>
      <w:r>
        <w:rPr>
          <w:b/>
          <w:bCs/>
          <w:color w:val="FF0000"/>
        </w:rPr>
        <w:t>For example:</w:t>
      </w:r>
    </w:p>
    <w:p w14:paraId="13B297E9" w14:textId="77777777" w:rsidR="00E77480" w:rsidRDefault="00E77480" w:rsidP="009C4D11">
      <w:pPr>
        <w:rPr>
          <w:bCs/>
        </w:rPr>
      </w:pPr>
      <w:r w:rsidRPr="00336276">
        <w:rPr>
          <w:bCs/>
        </w:rPr>
        <w:t xml:space="preserve">If you </w:t>
      </w:r>
      <w:r>
        <w:rPr>
          <w:bCs/>
        </w:rPr>
        <w:t>are using your approved Flagon &amp; Trencher application #714 and the proofs are:</w:t>
      </w:r>
    </w:p>
    <w:p w14:paraId="457A900C" w14:textId="77777777" w:rsidR="00E77480" w:rsidRDefault="00E77480" w:rsidP="009C4D11">
      <w:pPr>
        <w:ind w:left="720"/>
        <w:rPr>
          <w:b/>
          <w:bCs/>
        </w:rPr>
      </w:pPr>
      <w:r w:rsidRPr="00336276">
        <w:rPr>
          <w:b/>
          <w:bCs/>
        </w:rPr>
        <w:t>BC for MLB, BC for NFL, ML</w:t>
      </w:r>
    </w:p>
    <w:p w14:paraId="09F5045D" w14:textId="77777777" w:rsidR="00E77480" w:rsidRPr="00336276" w:rsidRDefault="00E77480" w:rsidP="009C4D11">
      <w:pPr>
        <w:rPr>
          <w:bCs/>
        </w:rPr>
      </w:pPr>
      <w:r w:rsidRPr="00336276">
        <w:rPr>
          <w:bCs/>
          <w:i/>
        </w:rPr>
        <w:t>Please do not alter the original references</w:t>
      </w:r>
      <w:r>
        <w:rPr>
          <w:bCs/>
        </w:rPr>
        <w:t xml:space="preserve"> but add a reference to the approved application.</w:t>
      </w:r>
    </w:p>
    <w:p w14:paraId="17B51BC2" w14:textId="38DB94BD" w:rsidR="00E77480" w:rsidRDefault="00E77480" w:rsidP="009C4D11">
      <w:pPr>
        <w:ind w:left="720"/>
        <w:rPr>
          <w:b/>
          <w:bCs/>
        </w:rPr>
      </w:pPr>
      <w:r w:rsidRPr="00336276">
        <w:rPr>
          <w:b/>
          <w:bCs/>
        </w:rPr>
        <w:t>BC for MLB</w:t>
      </w:r>
      <w:r w:rsidR="00530B13">
        <w:rPr>
          <w:b/>
          <w:bCs/>
        </w:rPr>
        <w:t>;</w:t>
      </w:r>
      <w:r w:rsidRPr="00336276">
        <w:rPr>
          <w:b/>
          <w:bCs/>
        </w:rPr>
        <w:t xml:space="preserve"> BC for NFL</w:t>
      </w:r>
      <w:r w:rsidR="00530B13">
        <w:rPr>
          <w:b/>
          <w:bCs/>
        </w:rPr>
        <w:t>;</w:t>
      </w:r>
      <w:r w:rsidRPr="00336276">
        <w:rPr>
          <w:b/>
          <w:bCs/>
        </w:rPr>
        <w:t xml:space="preserve"> ML</w:t>
      </w:r>
      <w:r w:rsidR="00530B13">
        <w:rPr>
          <w:b/>
          <w:bCs/>
        </w:rPr>
        <w:t>;</w:t>
      </w:r>
      <w:r>
        <w:rPr>
          <w:b/>
          <w:bCs/>
        </w:rPr>
        <w:t xml:space="preserve"> Flagon &amp; Trencher </w:t>
      </w:r>
      <w:r w:rsidR="00530B13">
        <w:rPr>
          <w:b/>
          <w:bCs/>
        </w:rPr>
        <w:t>(F&amp;T) #714, Jane Doe, anc. John Jones, gen. 1-7</w:t>
      </w:r>
    </w:p>
    <w:p w14:paraId="27AE18EC" w14:textId="77777777" w:rsidR="00AB6877" w:rsidRDefault="00AB6877" w:rsidP="009C4D11">
      <w:pPr>
        <w:rPr>
          <w:spacing w:val="-4"/>
          <w:sz w:val="16"/>
          <w:szCs w:val="16"/>
        </w:rPr>
      </w:pPr>
    </w:p>
    <w:p w14:paraId="5CFED413" w14:textId="50D8B90A" w:rsidR="00322BBC" w:rsidRPr="00975AA1" w:rsidRDefault="00975AA1" w:rsidP="009C4D11">
      <w:pPr>
        <w:rPr>
          <w:spacing w:val="-4"/>
        </w:rPr>
      </w:pPr>
      <w:r>
        <w:rPr>
          <w:spacing w:val="-4"/>
        </w:rPr>
        <w:t>Continue to cite the appropriate proofs for each generation referenced in the F&amp;T application.</w:t>
      </w:r>
    </w:p>
    <w:p w14:paraId="58AC4D93" w14:textId="77777777" w:rsidR="00975AA1" w:rsidRDefault="00975AA1" w:rsidP="009C4D11">
      <w:pPr>
        <w:rPr>
          <w:spacing w:val="-4"/>
          <w:sz w:val="16"/>
          <w:szCs w:val="16"/>
        </w:rPr>
      </w:pPr>
    </w:p>
    <w:p w14:paraId="371ABB8A" w14:textId="393016FB" w:rsidR="00D60ED0" w:rsidRDefault="00D60ED0" w:rsidP="009C4D11">
      <w:pPr>
        <w:rPr>
          <w:spacing w:val="-4"/>
        </w:rPr>
      </w:pPr>
      <w:r>
        <w:rPr>
          <w:b/>
          <w:spacing w:val="-4"/>
        </w:rPr>
        <w:t xml:space="preserve">Before Mailing the Application Form: </w:t>
      </w:r>
      <w:r>
        <w:rPr>
          <w:spacing w:val="-4"/>
        </w:rPr>
        <w:t xml:space="preserve">Walk through generation by generation to validate that the dates, names, and places provided are documented in the proofs provided.  </w:t>
      </w:r>
      <w:r w:rsidR="00480695">
        <w:rPr>
          <w:spacing w:val="-4"/>
        </w:rPr>
        <w:t xml:space="preserve">Make sure you are able to connect generations.  </w:t>
      </w:r>
      <w:r>
        <w:rPr>
          <w:spacing w:val="-4"/>
        </w:rPr>
        <w:t>Anything without attestation will slow down the approval process.</w:t>
      </w:r>
    </w:p>
    <w:p w14:paraId="1799606C" w14:textId="77777777" w:rsidR="00D60ED0" w:rsidRPr="00BF38B9" w:rsidRDefault="00D60ED0" w:rsidP="009C4D11">
      <w:pPr>
        <w:rPr>
          <w:spacing w:val="-4"/>
          <w:sz w:val="16"/>
          <w:szCs w:val="16"/>
        </w:rPr>
      </w:pPr>
    </w:p>
    <w:p w14:paraId="7214C70E" w14:textId="77777777" w:rsidR="00AB6877" w:rsidRDefault="00AB6877" w:rsidP="009C4D11">
      <w:pPr>
        <w:rPr>
          <w:b/>
          <w:spacing w:val="-4"/>
          <w:sz w:val="16"/>
          <w:szCs w:val="16"/>
        </w:rPr>
      </w:pPr>
      <w:r>
        <w:rPr>
          <w:b/>
          <w:spacing w:val="-4"/>
        </w:rPr>
        <w:t>Printing Instructions:</w:t>
      </w:r>
    </w:p>
    <w:p w14:paraId="22254A4A" w14:textId="77777777" w:rsidR="00AB6877" w:rsidRPr="00BF38B9" w:rsidRDefault="00AB6877" w:rsidP="009C4D11">
      <w:pPr>
        <w:rPr>
          <w:b/>
          <w:spacing w:val="-4"/>
          <w:sz w:val="16"/>
          <w:szCs w:val="16"/>
        </w:rPr>
      </w:pPr>
    </w:p>
    <w:p w14:paraId="0B9FC96F" w14:textId="77777777" w:rsidR="00AB6877" w:rsidRDefault="00322BBC" w:rsidP="009C4D11">
      <w:pPr>
        <w:numPr>
          <w:ilvl w:val="0"/>
          <w:numId w:val="1"/>
        </w:numPr>
        <w:rPr>
          <w:spacing w:val="-4"/>
        </w:rPr>
      </w:pPr>
      <w:r>
        <w:rPr>
          <w:spacing w:val="-4"/>
        </w:rPr>
        <w:t>Please u</w:t>
      </w:r>
      <w:r w:rsidR="00AB6877">
        <w:rPr>
          <w:spacing w:val="-4"/>
        </w:rPr>
        <w:t>se letter size, 20 lb. Acid Free paper.</w:t>
      </w:r>
    </w:p>
    <w:p w14:paraId="15FD59A9" w14:textId="063BFDA2" w:rsidR="008A62EA" w:rsidRDefault="00322BBC" w:rsidP="009C4D11">
      <w:pPr>
        <w:numPr>
          <w:ilvl w:val="0"/>
          <w:numId w:val="1"/>
        </w:numPr>
        <w:rPr>
          <w:spacing w:val="-4"/>
        </w:rPr>
      </w:pPr>
      <w:r>
        <w:rPr>
          <w:spacing w:val="-4"/>
        </w:rPr>
        <w:t>Print the Application</w:t>
      </w:r>
      <w:r w:rsidR="00AB6877">
        <w:rPr>
          <w:spacing w:val="-4"/>
        </w:rPr>
        <w:t xml:space="preserve"> </w:t>
      </w:r>
      <w:r w:rsidR="00716B0C">
        <w:rPr>
          <w:spacing w:val="-4"/>
        </w:rPr>
        <w:t xml:space="preserve">and proofs on </w:t>
      </w:r>
      <w:r w:rsidR="00716B0C" w:rsidRPr="00C73E54">
        <w:rPr>
          <w:b/>
          <w:bCs/>
          <w:spacing w:val="-4"/>
        </w:rPr>
        <w:t>one side only</w:t>
      </w:r>
      <w:r w:rsidR="00716B0C">
        <w:rPr>
          <w:spacing w:val="-4"/>
        </w:rPr>
        <w:t>.</w:t>
      </w:r>
    </w:p>
    <w:p w14:paraId="39A21F28" w14:textId="77777777" w:rsidR="008A62EA" w:rsidRPr="008A62EA" w:rsidRDefault="008A62EA" w:rsidP="009C4D11">
      <w:pPr>
        <w:rPr>
          <w:spacing w:val="-4"/>
        </w:rPr>
      </w:pPr>
    </w:p>
    <w:p w14:paraId="7A361614" w14:textId="77777777" w:rsidR="00662304" w:rsidRDefault="00662304" w:rsidP="009C4D11">
      <w:pPr>
        <w:spacing w:after="240"/>
        <w:rPr>
          <w:b/>
          <w:bCs/>
          <w:spacing w:val="-4"/>
        </w:rPr>
      </w:pPr>
    </w:p>
    <w:p w14:paraId="4059679F" w14:textId="08532EC6" w:rsidR="008A62EA" w:rsidRPr="008A62EA" w:rsidRDefault="008A62EA" w:rsidP="009C4D11">
      <w:pPr>
        <w:spacing w:after="240"/>
        <w:rPr>
          <w:b/>
          <w:bCs/>
          <w:spacing w:val="-4"/>
        </w:rPr>
      </w:pPr>
      <w:r w:rsidRPr="008A62EA">
        <w:rPr>
          <w:b/>
          <w:bCs/>
          <w:spacing w:val="-4"/>
        </w:rPr>
        <w:lastRenderedPageBreak/>
        <w:t>Mailing:</w:t>
      </w:r>
    </w:p>
    <w:p w14:paraId="5FCF4AAF" w14:textId="78079FEF" w:rsidR="00AB6877" w:rsidRDefault="008A62EA" w:rsidP="009C4D11">
      <w:pPr>
        <w:pStyle w:val="ListParagraph"/>
        <w:numPr>
          <w:ilvl w:val="0"/>
          <w:numId w:val="2"/>
        </w:numPr>
        <w:rPr>
          <w:spacing w:val="-4"/>
        </w:rPr>
      </w:pPr>
      <w:r>
        <w:rPr>
          <w:spacing w:val="-4"/>
        </w:rPr>
        <w:t>Enclose</w:t>
      </w:r>
      <w:r w:rsidR="00322BBC" w:rsidRPr="008A62EA">
        <w:rPr>
          <w:b/>
          <w:spacing w:val="-4"/>
        </w:rPr>
        <w:t xml:space="preserve"> o</w:t>
      </w:r>
      <w:r w:rsidR="00AB6877" w:rsidRPr="008A62EA">
        <w:rPr>
          <w:b/>
          <w:spacing w:val="-4"/>
        </w:rPr>
        <w:t>ne</w:t>
      </w:r>
      <w:r w:rsidR="00AB6877" w:rsidRPr="008A62EA">
        <w:rPr>
          <w:spacing w:val="-4"/>
        </w:rPr>
        <w:t xml:space="preserve"> copy of the application</w:t>
      </w:r>
      <w:r w:rsidR="00322BBC" w:rsidRPr="008A62EA">
        <w:rPr>
          <w:spacing w:val="-4"/>
        </w:rPr>
        <w:t xml:space="preserve"> with an original signature</w:t>
      </w:r>
      <w:r w:rsidR="00AB6877" w:rsidRPr="008A62EA">
        <w:rPr>
          <w:spacing w:val="-4"/>
        </w:rPr>
        <w:t xml:space="preserve">. </w:t>
      </w:r>
      <w:r w:rsidR="00322BBC" w:rsidRPr="008A62EA">
        <w:rPr>
          <w:spacing w:val="-4"/>
        </w:rPr>
        <w:t>(</w:t>
      </w:r>
      <w:r w:rsidR="00AB6877" w:rsidRPr="008A62EA">
        <w:rPr>
          <w:spacing w:val="-4"/>
        </w:rPr>
        <w:t>A copy of the</w:t>
      </w:r>
      <w:r w:rsidR="00322BBC" w:rsidRPr="008A62EA">
        <w:rPr>
          <w:spacing w:val="-4"/>
        </w:rPr>
        <w:t xml:space="preserve"> approved</w:t>
      </w:r>
      <w:r w:rsidR="00AB6877" w:rsidRPr="008A62EA">
        <w:rPr>
          <w:spacing w:val="-4"/>
        </w:rPr>
        <w:t xml:space="preserve"> application will be </w:t>
      </w:r>
      <w:r w:rsidR="00322BBC" w:rsidRPr="008A62EA">
        <w:rPr>
          <w:spacing w:val="-4"/>
        </w:rPr>
        <w:t>e-mailed to you.)</w:t>
      </w:r>
    </w:p>
    <w:p w14:paraId="6CDC4ACD" w14:textId="71F35E52" w:rsidR="008A62EA" w:rsidRDefault="008A62EA" w:rsidP="009C4D11">
      <w:pPr>
        <w:pStyle w:val="ListParagraph"/>
        <w:numPr>
          <w:ilvl w:val="0"/>
          <w:numId w:val="2"/>
        </w:numPr>
        <w:rPr>
          <w:spacing w:val="-4"/>
        </w:rPr>
      </w:pPr>
      <w:r>
        <w:rPr>
          <w:spacing w:val="-4"/>
        </w:rPr>
        <w:t>Enclose your proofs</w:t>
      </w:r>
      <w:r w:rsidR="00662304">
        <w:rPr>
          <w:spacing w:val="-4"/>
        </w:rPr>
        <w:t xml:space="preserve"> in generational order</w:t>
      </w:r>
      <w:r>
        <w:rPr>
          <w:spacing w:val="-4"/>
        </w:rPr>
        <w:t>.</w:t>
      </w:r>
    </w:p>
    <w:p w14:paraId="20E575AC" w14:textId="489951C8" w:rsidR="008A62EA" w:rsidRDefault="008A62EA" w:rsidP="009C4D11">
      <w:pPr>
        <w:pStyle w:val="ListParagraph"/>
        <w:numPr>
          <w:ilvl w:val="0"/>
          <w:numId w:val="2"/>
        </w:numPr>
        <w:rPr>
          <w:spacing w:val="-4"/>
        </w:rPr>
      </w:pPr>
      <w:r>
        <w:rPr>
          <w:spacing w:val="-4"/>
        </w:rPr>
        <w:t>Enclose a check for $220</w:t>
      </w:r>
      <w:r w:rsidR="00BB0884">
        <w:rPr>
          <w:spacing w:val="-4"/>
        </w:rPr>
        <w:t xml:space="preserve"> (or $20 for a supplemental application)</w:t>
      </w:r>
      <w:r>
        <w:rPr>
          <w:spacing w:val="-4"/>
        </w:rPr>
        <w:t xml:space="preserve"> made payable to “Sheriffs and Constables.”</w:t>
      </w:r>
    </w:p>
    <w:p w14:paraId="5E1A46BE" w14:textId="305E92A1" w:rsidR="008A62EA" w:rsidRDefault="008A62EA" w:rsidP="009C4D11">
      <w:pPr>
        <w:pStyle w:val="ListParagraph"/>
        <w:numPr>
          <w:ilvl w:val="0"/>
          <w:numId w:val="2"/>
        </w:numPr>
        <w:rPr>
          <w:spacing w:val="-4"/>
        </w:rPr>
      </w:pPr>
      <w:r>
        <w:rPr>
          <w:spacing w:val="-4"/>
        </w:rPr>
        <w:t xml:space="preserve">Enclose a </w:t>
      </w:r>
      <w:r w:rsidR="00F80ECB">
        <w:rPr>
          <w:spacing w:val="-4"/>
        </w:rPr>
        <w:t xml:space="preserve">separate </w:t>
      </w:r>
      <w:r>
        <w:rPr>
          <w:spacing w:val="-4"/>
        </w:rPr>
        <w:t xml:space="preserve">check for $15 made out to the Registrar General, </w:t>
      </w:r>
      <w:r w:rsidR="009E4995">
        <w:rPr>
          <w:spacing w:val="-4"/>
        </w:rPr>
        <w:t>Anne C. Henninger</w:t>
      </w:r>
      <w:r>
        <w:rPr>
          <w:spacing w:val="-4"/>
        </w:rPr>
        <w:t>.</w:t>
      </w:r>
    </w:p>
    <w:p w14:paraId="7D58B57E" w14:textId="1742AB5E" w:rsidR="008A62EA" w:rsidRPr="008A62EA" w:rsidRDefault="008A62EA" w:rsidP="009C4D11">
      <w:pPr>
        <w:pStyle w:val="ListParagraph"/>
        <w:numPr>
          <w:ilvl w:val="0"/>
          <w:numId w:val="2"/>
        </w:numPr>
        <w:rPr>
          <w:spacing w:val="-4"/>
        </w:rPr>
      </w:pPr>
      <w:r>
        <w:rPr>
          <w:spacing w:val="-4"/>
        </w:rPr>
        <w:t>Mail to the Registrar General.</w:t>
      </w:r>
    </w:p>
    <w:p w14:paraId="2E710812" w14:textId="77777777" w:rsidR="00AB6877" w:rsidRPr="00BF38B9" w:rsidRDefault="00AB6877" w:rsidP="009C4D11">
      <w:pPr>
        <w:ind w:left="1080"/>
        <w:rPr>
          <w:spacing w:val="-4"/>
          <w:sz w:val="16"/>
          <w:szCs w:val="16"/>
        </w:rPr>
      </w:pPr>
    </w:p>
    <w:p w14:paraId="71B4D928" w14:textId="1CFBEA59" w:rsidR="00AF5409" w:rsidRDefault="00AB6877" w:rsidP="009C4D11">
      <w:r>
        <w:t xml:space="preserve">The current Registrar General is </w:t>
      </w:r>
      <w:r w:rsidR="009E4995">
        <w:t xml:space="preserve">Anne C. Henninger, P.O. Box 717, Prince Frederick, MD 20678-0717, </w:t>
      </w:r>
      <w:hyperlink r:id="rId14" w:history="1">
        <w:r w:rsidR="00FE3929" w:rsidRPr="006F7304">
          <w:rPr>
            <w:rStyle w:val="Hyperlink"/>
          </w:rPr>
          <w:t>pvt1mr@aol.com</w:t>
        </w:r>
      </w:hyperlink>
      <w:r w:rsidR="009E4995">
        <w:t>.</w:t>
      </w:r>
      <w:r w:rsidR="00FE3929">
        <w:t xml:space="preserve">  DO NOT SEND YOUR APPLICATION BY REGISTERED OR CERTIFIED MAIL, OR VIA ANY MEANS THAT REQUIRES A SIGNATURE.  </w:t>
      </w:r>
    </w:p>
    <w:sectPr w:rsidR="00AF5409" w:rsidSect="001E70B6">
      <w:pgSz w:w="12240" w:h="16834"/>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4C4"/>
    <w:multiLevelType w:val="hybridMultilevel"/>
    <w:tmpl w:val="8ECC94E2"/>
    <w:lvl w:ilvl="0" w:tplc="A2D2E1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E84A9A"/>
    <w:multiLevelType w:val="hybridMultilevel"/>
    <w:tmpl w:val="69C63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0C3BBB"/>
    <w:multiLevelType w:val="hybridMultilevel"/>
    <w:tmpl w:val="BF7E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77"/>
    <w:rsid w:val="00043519"/>
    <w:rsid w:val="000625DB"/>
    <w:rsid w:val="00075BCA"/>
    <w:rsid w:val="001A52AE"/>
    <w:rsid w:val="001E70B6"/>
    <w:rsid w:val="00322BBC"/>
    <w:rsid w:val="00457789"/>
    <w:rsid w:val="00480695"/>
    <w:rsid w:val="00530B13"/>
    <w:rsid w:val="00575BB4"/>
    <w:rsid w:val="005805E3"/>
    <w:rsid w:val="005D7F02"/>
    <w:rsid w:val="00614105"/>
    <w:rsid w:val="00655D24"/>
    <w:rsid w:val="00662304"/>
    <w:rsid w:val="006A3736"/>
    <w:rsid w:val="00716B0C"/>
    <w:rsid w:val="00726567"/>
    <w:rsid w:val="007813DF"/>
    <w:rsid w:val="00816F91"/>
    <w:rsid w:val="008A62EA"/>
    <w:rsid w:val="00975AA1"/>
    <w:rsid w:val="009C4D11"/>
    <w:rsid w:val="009E4995"/>
    <w:rsid w:val="00A74B40"/>
    <w:rsid w:val="00AB6877"/>
    <w:rsid w:val="00AF5409"/>
    <w:rsid w:val="00B172C6"/>
    <w:rsid w:val="00BB0884"/>
    <w:rsid w:val="00C20B84"/>
    <w:rsid w:val="00C73E54"/>
    <w:rsid w:val="00C903F4"/>
    <w:rsid w:val="00CA171A"/>
    <w:rsid w:val="00D60ED0"/>
    <w:rsid w:val="00D90CDE"/>
    <w:rsid w:val="00DC7B1C"/>
    <w:rsid w:val="00E77480"/>
    <w:rsid w:val="00EA09FC"/>
    <w:rsid w:val="00F52795"/>
    <w:rsid w:val="00F80ECB"/>
    <w:rsid w:val="00FA06A5"/>
    <w:rsid w:val="00FE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13D7"/>
  <w15:docId w15:val="{CD939A22-0193-45EB-9140-A084B0A0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6877"/>
    <w:rPr>
      <w:color w:val="0000FF"/>
      <w:u w:val="single"/>
    </w:rPr>
  </w:style>
  <w:style w:type="paragraph" w:styleId="BalloonText">
    <w:name w:val="Balloon Text"/>
    <w:basedOn w:val="Normal"/>
    <w:link w:val="BalloonTextChar"/>
    <w:uiPriority w:val="99"/>
    <w:semiHidden/>
    <w:unhideWhenUsed/>
    <w:rsid w:val="00062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D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7480"/>
    <w:rPr>
      <w:color w:val="954F72" w:themeColor="followedHyperlink"/>
      <w:u w:val="single"/>
    </w:rPr>
  </w:style>
  <w:style w:type="paragraph" w:styleId="ListParagraph">
    <w:name w:val="List Paragraph"/>
    <w:basedOn w:val="Normal"/>
    <w:uiPriority w:val="34"/>
    <w:qFormat/>
    <w:rsid w:val="008A62EA"/>
    <w:pPr>
      <w:ind w:left="720"/>
      <w:contextualSpacing/>
    </w:pPr>
  </w:style>
  <w:style w:type="character" w:customStyle="1" w:styleId="UnresolvedMention">
    <w:name w:val="Unresolved Mention"/>
    <w:basedOn w:val="DefaultParagraphFont"/>
    <w:uiPriority w:val="99"/>
    <w:semiHidden/>
    <w:unhideWhenUsed/>
    <w:rsid w:val="00FE3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rectional_officer" TargetMode="External"/><Relationship Id="rId13" Type="http://schemas.openxmlformats.org/officeDocument/2006/relationships/hyperlink" Target="http://en.wikipedia.org/wiki/Auxiliary_Police" TargetMode="External"/><Relationship Id="rId3" Type="http://schemas.openxmlformats.org/officeDocument/2006/relationships/settings" Target="settings.xml"/><Relationship Id="rId7" Type="http://schemas.openxmlformats.org/officeDocument/2006/relationships/hyperlink" Target="http://en.wikipedia.org/wiki/Police_officers" TargetMode="External"/><Relationship Id="rId12" Type="http://schemas.openxmlformats.org/officeDocument/2006/relationships/hyperlink" Target="http://en.wikipedia.org/wiki/Parole_offic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Breach_of_the_peace" TargetMode="External"/><Relationship Id="rId11" Type="http://schemas.openxmlformats.org/officeDocument/2006/relationships/hyperlink" Target="http://en.wikipedia.org/wiki/Probation_officer" TargetMode="External"/><Relationship Id="rId5" Type="http://schemas.openxmlformats.org/officeDocument/2006/relationships/hyperlink" Target="http://en.wikipedia.org/wiki/Public_sector" TargetMode="External"/><Relationship Id="rId15" Type="http://schemas.openxmlformats.org/officeDocument/2006/relationships/fontTable" Target="fontTable.xml"/><Relationship Id="rId10" Type="http://schemas.openxmlformats.org/officeDocument/2006/relationships/hyperlink" Target="http://en.wikipedia.org/wiki/Immigration_officer" TargetMode="External"/><Relationship Id="rId4" Type="http://schemas.openxmlformats.org/officeDocument/2006/relationships/webSettings" Target="webSettings.xml"/><Relationship Id="rId9" Type="http://schemas.openxmlformats.org/officeDocument/2006/relationships/hyperlink" Target="http://en.wikipedia.org/wiki/Customs_officer" TargetMode="External"/><Relationship Id="rId14" Type="http://schemas.openxmlformats.org/officeDocument/2006/relationships/hyperlink" Target="mailto:pvt1m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Leslie Kirk</cp:lastModifiedBy>
  <cp:revision>2</cp:revision>
  <cp:lastPrinted>2016-03-28T15:41:00Z</cp:lastPrinted>
  <dcterms:created xsi:type="dcterms:W3CDTF">2023-01-21T05:28:00Z</dcterms:created>
  <dcterms:modified xsi:type="dcterms:W3CDTF">2023-01-21T05:28:00Z</dcterms:modified>
</cp:coreProperties>
</file>